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line="276" w:lineRule="auto" w:before="3158" w:after="0"/>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p>
      <w:pPr>
        <w:spacing w:line="276" w:lineRule="auto" w:before="1579" w:after="0"/>
        <w:jc w:val="center"/>
      </w:pPr>
      <w:r>
        <w:rPr>
          <w:rFonts w:ascii="Times New Roman" w:hAnsi="Times New Roman"/>
          <w:sz w:val="24"/>
        </w:rPr>
        <w:t>El Tigre, julio de 2026</w:t>
      </w:r>
    </w:p>
    <w:p>
      <w:pPr>
        <w:sectPr>
          <w:footerReference w:type="default" r:id="rId14"/>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Lenny Mata</w:t>
              <w:br/>
            </w:r>
            <w:r>
              <w:rPr>
                <w:rFonts w:ascii="Times New Roman" w:hAnsi="Times New Roman"/>
                <w:b/>
                <w:sz w:val="24"/>
              </w:rPr>
              <w:t>C.I.: 8969750</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Lic. Carlos Mendoza</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tc>
      </w:tr>
    </w:tbl>
    <w:p>
      <w:pPr>
        <w:spacing w:line="276" w:lineRule="auto" w:before="1272" w:after="0"/>
        <w:jc w:val="center"/>
      </w:pPr>
      <w:r>
        <w:rPr>
          <w:rFonts w:ascii="Times New Roman" w:hAnsi="Times New Roman"/>
          <w:sz w:val="24"/>
        </w:rPr>
        <w:t>El Tigre, julio de 2026</w:t>
      </w:r>
    </w:p>
    <w:p>
      <w:pPr>
        <w:sectPr>
          <w:footerReference w:type="default" r:id="rId15"/>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Lenny Mata</w:t>
      </w:r>
    </w:p>
    <w:p>
      <w:pPr>
        <w:spacing w:before="0"/>
        <w:jc w:val="center"/>
      </w:pPr>
      <w:r>
        <w:rPr>
          <w:rFonts w:ascii="Times New Roman" w:hAnsi="Times New Roman"/>
          <w:sz w:val="24"/>
        </w:rPr>
        <w:t>C.I.: 8969750</w:t>
      </w:r>
    </w:p>
    <w:p>
      <w:pPr>
        <w:sectPr>
          <w:footerReference w:type="default" r:id="rId16"/>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Lic. Carlos Mendoza</w:t>
      </w:r>
    </w:p>
    <w:p>
      <w:pPr>
        <w:spacing w:before="0"/>
        <w:jc w:val="center"/>
      </w:pPr>
      <w:r>
        <w:rPr>
          <w:rFonts w:ascii="Times New Roman" w:hAnsi="Times New Roman"/>
          <w:sz w:val="24"/>
        </w:rPr>
        <w:t>C.I.: 4.273.815</w:t>
      </w:r>
    </w:p>
    <w:p>
      <w:pPr>
        <w:sectPr>
          <w:footerReference w:type="default" r:id="rId17"/>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8"/>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9"/>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0"/>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1"/>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2"/>
          <w:pgSz w:w="12240" w:h="15840"/>
          <w:pgMar w:top="1701" w:right="1701" w:bottom="1701" w:left="2268" w:header="720" w:footer="720" w:gutter="0"/>
          <w:cols w:space="720"/>
          <w:titlePg/>
          <w:docGrid w:linePitch="360"/>
        </w:sectPr>
      </w:pPr>
    </w:p>
    <w:p>
      <w:pPr>
        <w:sectPr>
          <w:footerReference w:type="default" r:id="rId23"/>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4"/>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Ingeniería de Telecomunicaciones, C.A.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Ingeniería de Telecomunicaciones, C.A.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del Departamento de Administración.</w:t>
        <w:tab/>
      </w:r>
      <w:r>
        <w:rPr>
          <w:rFonts w:ascii="Times New Roman" w:hAnsi="Times New Roman"/>
          <w:b w:val="0"/>
          <w:sz w:val="24"/>
        </w:rPr>
        <w:fldChar w:fldCharType="begin"/>
        <w:instrText xml:space="preserve"> PAGEREF bm_grafico3 \h </w:instrText>
        <w:fldChar w:fldCharType="separate"/>
        <w:t>?</w:t>
        <w:fldChar w:fldCharType="end"/>
      </w:r>
    </w:p>
    <w:p>
      <w:pPr>
        <w:sectPr>
          <w:footerReference w:type="default" r:id="rId25"/>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6"/>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Flujograma del proceso de gestión de solicitudes de servicios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27"/>
          <w:type w:val="continuous"/>
          <w:pgSz w:w="12240" w:h="15840"/>
          <w:pgMar w:top="1701" w:right="1701" w:bottom="1701" w:left="2268" w:header="720" w:footer="720" w:gutter="0"/>
          <w:cols w:space="720"/>
          <w:titlePg/>
          <w:docGrid w:linePitch="360"/>
        </w:sectPr>
      </w:pPr>
    </w:p>
    <w:p>
      <w:bookmarkStart w:id="bm_resumen" w:name="bm_resumen"/>
      <w:pPr>
        <w:spacing w:before="1140" w:after="480"/>
        <w:jc w:val="center"/>
      </w:pPr>
      <w:r>
        <w:rPr>
          <w:rFonts w:ascii="Times New Roman" w:hAnsi="Times New Roman"/>
          <w:b/>
          <w:sz w:val="24"/>
        </w:rPr>
        <w:t>RESUMEN</w:t>
      </w:r>
      <w:bookmarkEnd w:id="bm_resumen"/>
    </w:p>
    <w:p>
      <w:pPr>
        <w:sectPr>
          <w:footerReference w:type="default" r:id="rId28"/>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evaluación del control administrativo aplicado a la gestión de solicitudes de servicios de telecomunicaciones en la empresa Ingeniería de Telecomunicaciones, C.A. (IDETEL). La investigación se enmarca en la modalidad de proyecto factible apoyado en un diagnóstico de campo. Durante el estudio se identificó la ausencia de procedimientos formalizados para el seguimiento de solicitudes de afiliación e incidencias, la falta de formatos estandarizados de registro y la inexistencia de indicadores de gestión que permitan evaluar el desempeño del proceso de atención al suscriptor. La propuesta contempla un nuevo flujo de trabajo estandarizado, formatos unificados de control y un conjunto de indicadores de gestión orientados a fortalecer el control administrativo y optimizar la calidad del servicio prestado.</w:t>
      </w:r>
    </w:p>
    <w:p/>
    <w:p>
      <w:pPr>
        <w:ind w:firstLine="709"/>
      </w:pPr>
      <w:r>
        <w:rPr>
          <w:b/>
        </w:rPr>
        <w:t xml:space="preserve">Palabras claves: </w:t>
      </w:r>
      <w:r>
        <w:t>control administrativo, solicitudes de servicios, telecomunicaciones, proyecto factible, pasantías.</w:t>
      </w:r>
    </w:p>
    <w:p>
      <w:pPr>
        <w:sectPr>
          <w:footerReference w:type="default" r:id="rId29"/>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0"/>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evaluar el control administrativo aplicado a la gestión de solicitudes de servicios de telecomunicaciones en la empresa Ingeniería de Telecomunicaciones, C.A. (IDETEL), con sede en la ciudad de El Tigre, estado Anzoátegui. El estudio parte del diagnóstico de las deficiencias presentes en el proceso de atención al suscriptor para proponer mejoras procedimentales que optimicen el control interno del departamento. El informe se organiza en cinco capítulos: el Capítulo I presenta la realidad organizacional de IDETEL;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31"/>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2"/>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Ingeniería de Telecomunicaciones, C.A. (IDETEL / INTELCA)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Ingeniería de Telecomunicaciones, C.A. se consolidó en la ciudad de El Tigre, estado Anzoátegui, acumulando una trayectoria de más de cuatro (4) décadas en el mercado tecnológico de la región oriental de Venezuela. Un hito fundamental en su evolución histórica se remonta al año 1983, cuando la organización se convirtió en el primer Distribuidor Autorizado Motorola para sistemas de radio de dos vías en el oriente del país, alianza estratégica que se ha mantenido vigente e ininterrumpida a lo largo de las décadas.</w:t>
      </w:r>
    </w:p>
    <w:p>
      <w:pPr>
        <w:spacing w:line="360" w:lineRule="auto" w:after="0" w:before="0"/>
        <w:ind w:firstLine="709"/>
        <w:jc w:val="both"/>
      </w:pPr>
      <w:r>
        <w:rPr>
          <w:rFonts w:ascii="Times New Roman" w:hAnsi="Times New Roman"/>
          <w:i w:val="0"/>
          <w:sz w:val="24"/>
        </w:rPr>
        <w:t>A través de los años, impulsada por las demandas operativas de la Faja Petrolífera del Orinoco y las necesidades de conectividad comercial, la empresa expandió sus líneas tecnológicas progresivamente. Pasó de suministrar sistemas de radiocomunicación analógica convencional en bandas VHF/UHF y sistemas Trunking analógicos (800 MHz), a liderar el mercado regional con tecnologías de radiocomunicación digital de gama alta como los estándares TETRA (europeo) y P25 (americano), esenciales para operaciones industriales de misión crítica.</w:t>
      </w:r>
    </w:p>
    <w:p>
      <w:pPr>
        <w:spacing w:line="360" w:lineRule="auto" w:after="0" w:before="0"/>
        <w:ind w:firstLine="709"/>
        <w:jc w:val="both"/>
      </w:pPr>
      <w:r>
        <w:rPr>
          <w:rFonts w:ascii="Times New Roman" w:hAnsi="Times New Roman"/>
          <w:i w:val="0"/>
          <w:sz w:val="24"/>
        </w:rPr>
        <w:t>Con la maduración del sector tecnológico, IDETEL incorporó a su portafolio soluciones de ampliación de cobertura inalámbrica, enlaces de microondas en bandas licenciadas y no licenciadas, redes de telemetría y telecomunicaciones alámbricas, consolidando su modelo de negocios en torno a Proyectos IPC (Ingeniería, Procura y Construcción), respaldado por un laboratorio técnico especializado y personal altamente calificado.</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soluciones con altos estándares de confiabilidad en servicios de radiocomunicación y datos al segmento de mercado PyME, así como la entrega de servicios de calidad en el sector petrolero, asociados a los esfuerzos en ingeniería (integración multidisciplinaria), planificación y ejecución de proyectos de telecomunicaciones y automatización.</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reconocidos por los clientes como un proveedor de servicios altamente confiable y con altos estándares técnicos y de ingeniería, con capacidad de brindar soluciones multidisciplinarias en el área de automatización y telecomunicaciones, fortaleciendo continuamente el capital humano mediante capacitación y mejora progresiva de las instalaciones, con el fin de obtener la innovación, competitividad y liderazgo necesarios para sobresalir en el mercado de nuevas tecnologías.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Confiabilidad: </w:t>
      </w:r>
      <w:r>
        <w:rPr>
          <w:rFonts w:ascii="Times New Roman" w:hAnsi="Times New Roman"/>
          <w:sz w:val="24"/>
        </w:rPr>
        <w:t>Compromiso de entregar soluciones tecnológicas robustas que cumplan con los más altos estándares técnicos y de ingeniería para garantizar operaciones continuas y seguras.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Innovación y Competitividad: </w:t>
      </w:r>
      <w:r>
        <w:rPr>
          <w:rFonts w:ascii="Times New Roman" w:hAnsi="Times New Roman"/>
          <w:sz w:val="24"/>
        </w:rPr>
        <w:t>Búsqueda constante de actualización y adopción de tecnologías de última generación para sobresalir y liderar el mercado de soluciones inalámbricas y ópticas.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Seguridad Laboral e Higiene Ocupacional: </w:t>
      </w:r>
      <w:r>
        <w:rPr>
          <w:rFonts w:ascii="Times New Roman" w:hAnsi="Times New Roman"/>
          <w:sz w:val="24"/>
        </w:rPr>
        <w:t>Aplicación rigurosa de normas de protección e integridad física del personal en cada obra, instalación en campo o infraestructura crítica atendida.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Excelencia Técnica: </w:t>
      </w:r>
      <w:r>
        <w:rPr>
          <w:rFonts w:ascii="Times New Roman" w:hAnsi="Times New Roman"/>
          <w:sz w:val="24"/>
        </w:rPr>
        <w:t>Orientación hacia la precisión en los procesos de diseño, empalme por fusión, certificación de redes y asesoría en laboratorio.</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Ejecutar todo género de actividad o prestación de servicios relacionados directa o indirectamente con el ramo de las comunicaciones, computación y la electrónica en general.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Prestar servicios de importación, manufacturación, asesoría, ventas, instalaciones, arrendamientos, supervisión y mantenimiento en el área de telecomunicaciones.</w:t>
      </w:r>
    </w:p>
    <w:p>
      <w:pPr>
        <w:spacing w:line="360" w:lineRule="auto"/>
        <w:ind w:firstLine="709"/>
        <w:jc w:val="both"/>
      </w:pPr>
      <w:r>
        <w:rPr>
          <w:rFonts w:ascii="Times New Roman" w:hAnsi="Times New Roman"/>
          <w:sz w:val="24"/>
        </w:rPr>
        <w:t xml:space="preserve">2. </w:t>
      </w:r>
      <w:r>
        <w:rPr>
          <w:rFonts w:ascii="Times New Roman" w:hAnsi="Times New Roman"/>
          <w:sz w:val="24"/>
        </w:rPr>
        <w:t>Representar total o parcialmente cualquier producto comercial relacionado con sus operaciones mercantiles.</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sede administrativa y operativa de Ingeniería de Telecomunicaciones, C.A. se encuentra ubicada en la Calle Bolívar, Edificio La Suiza, Piso 1, Oficina Nro. 28, ciudad de El Tigre, Municipio Simón Rodríguez, estado Anzoátegui, Venezuela.</w:t>
      </w:r>
    </w:p>
    <w:p>
      <w:pPr>
        <w:spacing w:before="480"/>
        <w:jc w:val="center"/>
      </w:pPr>
      <w:r>
        <w:drawing>
          <wp:inline xmlns:a="http://schemas.openxmlformats.org/drawingml/2006/main" xmlns:pic="http://schemas.openxmlformats.org/drawingml/2006/picture">
            <wp:extent cx="1800000" cy="1125000"/>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125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Ingeniería de Telecomunicaciones, C.A.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Ingeniería de Telecomunicaciones, C.A. está conformada por personal multidisciplinario distribuido en las distintas áreas operativas y administrativas, con un total de ocho (8) trabajadores. La pasantía profesional se desarrolló en el Departamento de Administración, que dado el reducido tamaño del equipo tras un proceso de reestructuración de personal, opera con una estructura simplificada. Las funciones administrativas se concentran en dos (2) cargos activos: Supervisión de Administración, Contabilidad y Tributos, y Analista de Compras y Facturación, además del Analista de Atención al Cliente.</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estructura organizativa de Ingeniería de Telecomunicaciones, C.A. es de tipo vertical, diseñada para garantizar una comunicación fluida entre los niveles directivos y operativos. A la cabeza se encuentra la Presidencia, seguida de la Gerencia General y Operaciones, de la cual se desprenden los departamentos de Supervisión de Administración, Contabilidad y Tributos, Supervisión Comercial, Área de Internet, Supervisión del NOC (Network Operations Center) y Mantenimiento de Radiocomunicación. Se presenta a continuación el organigrama general de la empresa y del Departamento de Administración.</w:t>
      </w:r>
    </w:p>
    <w:p>
      <w:pPr>
        <w:spacing w:before="480"/>
        <w:jc w:val="center"/>
      </w:pPr>
      <w:r>
        <w:drawing>
          <wp:inline xmlns:a="http://schemas.openxmlformats.org/drawingml/2006/main" xmlns:pic="http://schemas.openxmlformats.org/drawingml/2006/picture">
            <wp:extent cx="4320000" cy="1847904"/>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1847904"/>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Ingeniería de Telecomunicaciones, C.A.</w:t>
      </w:r>
      <w:bookmarkEnd w:id="bm_grafico2"/>
    </w:p>
    <w:p>
      <w:pPr>
        <w:spacing w:before="480"/>
        <w:jc w:val="center"/>
      </w:pPr>
      <w:r>
        <w:drawing>
          <wp:inline xmlns:a="http://schemas.openxmlformats.org/drawingml/2006/main" xmlns:pic="http://schemas.openxmlformats.org/drawingml/2006/picture">
            <wp:extent cx="4320000" cy="2680292"/>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4320000" cy="2680292"/>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del Departamento de Administración.</w:t>
      </w:r>
      <w:bookmarkEnd w:id="bm_grafico3"/>
    </w:p>
    <w:p>
      <w:pPr>
        <w:sectPr>
          <w:footerReference w:type="default" r:id="rId33"/>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4"/>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Parasuraman, A., Zeithaml, V., y Berry, L. (1988). SERVQUAL: A multiple-item scale for measuring consumer perceptions of service quality. Journal of Retailing, 64(1), 12-40.</w:t>
      </w:r>
    </w:p>
    <w:p>
      <w:pPr>
        <w:spacing w:line="240" w:lineRule="auto" w:after="480" w:before="0"/>
        <w:ind w:left="425" w:hanging="425"/>
        <w:jc w:val="both"/>
      </w:pPr>
      <w:r>
        <w:rPr>
          <w:rFonts w:ascii="Times New Roman" w:hAnsi="Times New Roman"/>
          <w:sz w:val="24"/>
        </w:rPr>
        <w:t>Robbins, S., y Coulter, M. (2010). Administración (10ma ed.). Pearson Educación,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pacing w:line="240" w:lineRule="auto" w:after="480" w:before="0"/>
        <w:ind w:left="425" w:hanging="425"/>
        <w:jc w:val="both"/>
      </w:pPr>
      <w:r>
        <w:rPr>
          <w:rFonts w:ascii="Times New Roman" w:hAnsi="Times New Roman"/>
          <w:sz w:val="24"/>
        </w:rPr>
        <w:t>Zeithaml, V., Parasuraman, A., y Berry, L. (1993). Calidad total en la gestión de servicios. Díaz de Santos, España.</w:t>
      </w:r>
    </w:p>
    <w:p>
      <w:pPr>
        <w:sectPr>
          <w:footerReference w:type="default" r:id="rId35"/>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36"/>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[Flujograma del proceso de gestión de solicitudes de servicios]</w:t>
      </w:r>
    </w:p>
    <w:p>
      <w:pPr>
        <w:jc w:val="center"/>
      </w:pPr>
      <w:r>
        <w:drawing>
          <wp:inline xmlns:a="http://schemas.openxmlformats.org/drawingml/2006/main" xmlns:pic="http://schemas.openxmlformats.org/drawingml/2006/picture">
            <wp:extent cx="1341609" cy="6120000"/>
            <wp:docPr id="5" name="Picture 5"/>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1341609" cy="6120000"/>
                    </a:xfrm>
                    <a:prstGeom prst="rect"/>
                  </pic:spPr>
                </pic:pic>
              </a:graphicData>
            </a:graphic>
          </wp:inline>
        </w:drawing>
      </w:r>
    </w:p>
    <w:sectPr w:rsidR="00FC693F" w:rsidRPr="0006063C" w:rsidSect="00034616">
      <w:footerReference w:type="default" r:id="rId37"/>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footer" Target="footer18.xml"/><Relationship Id="rId32" Type="http://schemas.openxmlformats.org/officeDocument/2006/relationships/footer" Target="footer19.xml"/><Relationship Id="rId33" Type="http://schemas.openxmlformats.org/officeDocument/2006/relationships/footer" Target="footer20.xml"/><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