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Lenny Mata</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5"/>
          <w:pgSz w:w="12240" w:h="15840"/>
          <w:pgMar w:top="1701" w:right="1701" w:bottom="1701" w:left="2268" w:header="720" w:footer="720" w:gutter="0"/>
          <w:cols w:space="720"/>
          <w:titlePg/>
          <w:docGrid w:linePitch="360"/>
        </w:sectPr>
      </w:pPr>
    </w:p>
    <w:p>
      <w:pPr>
        <w:spacing w:line="360" w:lineRule="auto" w:after="120" w:before="0"/>
        <w:ind w:firstLine="709"/>
        <w:jc w:val="both"/>
      </w:pPr>
      <w:r>
        <w:rPr>
          <w:rFonts w:ascii="Times New Roman" w:hAnsi="Times New Roman"/>
          <w:i w:val="0"/>
          <w:sz w:val="24"/>
        </w:rPr>
        <w:t>Aquí van los agradecimientos.</w:t>
      </w:r>
    </w:p>
    <w:p>
      <w:pPr>
        <w:sectPr>
          <w:footerReference w:type="default" r:id="rId16"/>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7"/>
          <w:pgSz w:w="12240" w:h="15840"/>
          <w:pgMar w:top="1701" w:right="1701" w:bottom="1701" w:left="2268" w:header="720" w:footer="720" w:gutter="0"/>
          <w:cols w:space="720"/>
          <w:titlePg/>
          <w:docGrid w:linePitch="360"/>
        </w:sectPr>
      </w:pPr>
    </w:p>
    <w:p>
      <w:pPr>
        <w:spacing w:line="360" w:lineRule="auto" w:after="120" w:before="0"/>
        <w:ind w:firstLine="709"/>
        <w:jc w:val="both"/>
      </w:pPr>
      <w:r>
        <w:rPr>
          <w:rFonts w:ascii="Times New Roman" w:hAnsi="Times New Roman"/>
          <w:i w:val="0"/>
          <w:sz w:val="24"/>
        </w:rPr>
        <w:t>Aquí va la dedicatoria.</w:t>
      </w:r>
    </w:p>
    <w:p>
      <w:pPr>
        <w:sectPr>
          <w:footerReference w:type="default" r:id="rId18"/>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9"/>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1"/>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3"/>
          <w:pgSz w:w="12240" w:h="15840"/>
          <w:pgMar w:top="1701" w:right="1701" w:bottom="1701" w:left="2268" w:header="720" w:footer="720" w:gutter="0"/>
          <w:cols w:space="720"/>
          <w:titlePg/>
          <w:docGrid w:linePitch="360"/>
        </w:sectPr>
      </w:pPr>
    </w:p>
    <w:p>
      <w:pPr>
        <w:sectPr>
          <w:footerReference w:type="default" r:id="rId24"/>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5"/>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6"/>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7"/>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8"/>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9"/>
          <w:pgSz w:w="12240" w:h="15840"/>
          <w:pgMar w:top="1701" w:right="1701" w:bottom="1701" w:left="2268" w:header="720" w:footer="720" w:gutter="0"/>
          <w:cols w:space="720"/>
          <w:titlePg/>
          <w:docGrid w:linePitch="360"/>
        </w:sectPr>
      </w:pPr>
    </w:p>
    <w:p>
      <w:pPr>
        <w:spacing w:line="360" w:lineRule="auto" w:after="12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30"/>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1"/>
          <w:pgSz w:w="12240" w:h="15840"/>
          <w:pgMar w:top="1701" w:right="1701" w:bottom="1701" w:left="2268" w:header="720" w:footer="720" w:gutter="0"/>
          <w:cols w:space="720"/>
          <w:titlePg/>
          <w:docGrid w:linePitch="360"/>
        </w:sectPr>
      </w:pPr>
    </w:p>
    <w:p>
      <w:pPr>
        <w:spacing w:line="360" w:lineRule="auto" w:after="12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3"/>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12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12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12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12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12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12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12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12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12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12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12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47342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47342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5"/>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12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12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12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12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12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12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12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2551"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 los procedimientos internos.</w:t>
            </w:r>
          </w:p>
        </w:tc>
        <w:tc>
          <w:tcPr>
            <w:tcW w:w="1701" w:type="dxa"/>
            <w:shd w:val="clear" w:color="auto" w:fill="FFFFFF"/>
          </w:tcPr>
          <w:p>
            <w:pPr>
              <w:spacing w:before="60" w:after="60" w:line="240" w:lineRule="auto"/>
              <w:jc w:val="both"/>
            </w:pPr>
            <w:r>
              <w:rPr>
                <w:rFonts w:ascii="Times New Roman" w:hAnsi="Times New Roman"/>
                <w:b w:val="0"/>
                <w:color w:val="000000"/>
                <w:sz w:val="20"/>
              </w:rPr>
              <w:t>Guía de observación, documentos de la empresa, PC.</w:t>
            </w:r>
          </w:p>
        </w:tc>
        <w:tc>
          <w:tcPr>
            <w:tcW w:w="1984" w:type="dxa"/>
            <w:shd w:val="clear" w:color="auto" w:fill="FFFFFF"/>
          </w:tcPr>
          <w:p>
            <w:pPr>
              <w:spacing w:before="60" w:after="60" w:line="240" w:lineRule="auto"/>
              <w:jc w:val="both"/>
            </w:pPr>
            <w:r>
              <w:rPr>
                <w:rFonts w:ascii="Times New Roman" w:hAnsi="Times New Roman"/>
                <w:b w:val="0"/>
                <w:color w:val="000000"/>
                <w:sz w:val="20"/>
              </w:rPr>
              <w:t>Mapeo del flujo actual de solicitudes.</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2551"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701" w:type="dxa"/>
            <w:shd w:val="clear" w:color="auto" w:fill="D9E1F2"/>
          </w:tcPr>
          <w:p>
            <w:pPr>
              <w:spacing w:before="60" w:after="60" w:line="240" w:lineRule="auto"/>
              <w:jc w:val="both"/>
            </w:pPr>
            <w:r>
              <w:rPr>
                <w:rFonts w:ascii="Times New Roman" w:hAnsi="Times New Roman"/>
                <w:b w:val="0"/>
                <w:color w:val="000000"/>
                <w:sz w:val="20"/>
              </w:rPr>
              <w:t>Guía de entrevista, históricos de tickets, PC.</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deficiencias identificadas.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2551"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701" w:type="dxa"/>
            <w:shd w:val="clear" w:color="auto" w:fill="FFFFFF"/>
          </w:tcPr>
          <w:p>
            <w:pPr>
              <w:spacing w:before="60" w:after="60" w:line="240" w:lineRule="auto"/>
              <w:jc w:val="both"/>
            </w:pPr>
            <w:r>
              <w:rPr>
                <w:rFonts w:ascii="Times New Roman" w:hAnsi="Times New Roman"/>
                <w:b w:val="0"/>
                <w:color w:val="000000"/>
                <w:sz w:val="20"/>
              </w:rPr>
              <w:t>Base de datos de incidencias, hojas de cálculo.</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de impacto.</w:t>
            </w:r>
          </w:p>
        </w:tc>
      </w:tr>
      <w:tr>
        <w:tc>
          <w:tcPr>
            <w:tcW w:w="2551"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2551"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normativas internas.</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de mejora procedimental formulada.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12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7"/>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12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12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120" w:before="0"/>
        <w:ind w:firstLine="709"/>
        <w:jc w:val="both"/>
      </w:pPr>
      <w:r>
        <w:rPr>
          <w:rFonts w:ascii="Times New Roman" w:hAnsi="Times New Roman"/>
          <w:i w:val="0"/>
          <w:sz w:val="24"/>
        </w:rPr>
        <w:t>El control administrativo, como lo señalan los autores referidos, no se limita a una función de fiscalización, sino que se constituye en un mecanismo de retroalimentación continua que permite a la organización detectar desviaciones a tiempo y ajustar sus procesos para garantizar la calidad del servicio prestado al suscriptor.</w:t>
      </w:r>
    </w:p>
    <w:p>
      <w:pPr>
        <w:spacing w:before="480" w:after="480" w:line="360" w:lineRule="auto"/>
        <w:jc w:val="left"/>
      </w:pPr>
      <w:r>
        <w:rPr>
          <w:rFonts w:ascii="Times New Roman" w:hAnsi="Times New Roman"/>
          <w:b/>
          <w:sz w:val="24"/>
        </w:rPr>
        <w:t>Gestión de Solicitudes de Servicio</w:t>
      </w:r>
    </w:p>
    <w:p>
      <w:pPr>
        <w:spacing w:line="360" w:lineRule="auto" w:after="12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12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12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12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before="480" w:after="480" w:line="360" w:lineRule="auto"/>
        <w:jc w:val="left"/>
      </w:pPr>
      <w:r>
        <w:rPr>
          <w:rFonts w:ascii="Times New Roman" w:hAnsi="Times New Roman"/>
          <w:b/>
          <w:sz w:val="24"/>
        </w:rPr>
        <w:t>Calidad del Servicio en Empresas de Telecomunicaciones</w:t>
      </w:r>
    </w:p>
    <w:p>
      <w:pPr>
        <w:spacing w:line="360" w:lineRule="auto" w:after="12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12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before="480" w:after="480" w:line="360" w:lineRule="auto"/>
        <w:jc w:val="left"/>
      </w:pPr>
      <w:r>
        <w:rPr>
          <w:rFonts w:ascii="Times New Roman" w:hAnsi="Times New Roman"/>
          <w:b/>
          <w:sz w:val="24"/>
        </w:rPr>
        <w:t>Sistemas de Información para el Control Administrativo</w:t>
      </w:r>
    </w:p>
    <w:p>
      <w:pPr>
        <w:spacing w:line="360" w:lineRule="auto" w:after="12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12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before="480" w:after="480" w:line="360" w:lineRule="auto"/>
        <w:jc w:val="left"/>
      </w:pPr>
      <w:r>
        <w:rPr>
          <w:rFonts w:ascii="Times New Roman" w:hAnsi="Times New Roman"/>
          <w:b/>
          <w:sz w:val="24"/>
        </w:rPr>
        <w:t>Proyecto Factible como Modalidad de Investigación</w:t>
      </w:r>
    </w:p>
    <w:p>
      <w:pPr>
        <w:spacing w:line="360" w:lineRule="auto" w:after="12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12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ectPr>
          <w:footerReference w:type="default" r:id="rId38"/>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9"/>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120" w:before="0"/>
        <w:ind w:firstLine="709"/>
        <w:jc w:val="both"/>
      </w:pPr>
      <w:r>
        <w:rPr>
          <w:rFonts w:ascii="Times New Roman" w:hAnsi="Times New Roman"/>
          <w:i w:val="0"/>
          <w:sz w:val="24"/>
        </w:rPr>
        <w:t>Durante las diez (10) semanas de pasantías, se llevaron a cabo actividades de evaluación y análisis en el Departamento de Administración de Ingeniería de Telecomunicaciones, 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de Administración y familiarización con los sistemas de registro y los procedimientos generales de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recepción y procesamiento de solicitudes de servicio, identificación preliminar de los actores involucrados en el proceso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registro de solicitudes de afiliación de nuevos suscriptores, verificación de documentación requerida y actualización del sistema de control de casos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procedimental de solicitudes de instalación e incidencias mediante la revisión de registros históricos y la documentación interna disponible en el departamento.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de solicitudes de servicio activas, actualización del estatus de los casos en el sistema de registro del departamento y apoyo en la coordinación con el área técnica.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y aplicación de guía de observación directa sobre el proceso de gestión de solicitudes, registrando los tiempos de respuesta por etapa y los puntos de interrupción del flujo.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atención al suscriptor vía telefónica y presencial, registro de incidencias reportadas y coordinación con el NOC para el despacho de cuadrillas técnicas de campo.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no estructuradas al personal administrativo, comercial y técnico para identificar las deficiencias percibidas en el sistema de control de solicitudes de servicio.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actualización del registro de suscriptores activos, verificación del cierre de casos pendientes y apoyo en la elaboración de reportes de incidencias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Diagnóstico situacional de las deficiencias del control administrativo, elaboración de la matriz de fallas identificadas y análisis de los tiempos promedio de atención por tipo de solicitud.</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tramitación de contratos de nuevos suscriptores, verificación de la documentación requerida y actualización del registro de afiliaciones del período en el sistema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detectadas sobre la calidad del servicio percibida por los suscriptores, mediante correlación entre tiempos de atención y quejas registradas.</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archivo de expedientes administrativos del ciclo, apoyo en la conciliación de pagos de suscriptores y actualización de la base de datos de clientes.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estandarizado para la gestión de solicitudes, con definición de etapas, responsables, tiempos máximos de respuesta y puntos de control por fase.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generación de reportes de incidencias y solicitudes del período para la supervisión administrativa, y colaboración en la atención de requerimientos de suscriptores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registro de solicitudes de afiliación y de incidencias, y elaboración del procedimiento escrito para la gestión unificada de casos en el departamento.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ciclo de atención al suscriptor correspondiente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al control administrativo de solicitudes de servicio, incorporando las observaciones del tutor industrial y ajustando los procedimientos al contexto operativo de IDETEL.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supervisión del Departamento de Administración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 al IUTECP.</w:t>
      </w:r>
    </w:p>
    <w:p>
      <w:pPr>
        <w:sectPr>
          <w:footerReference w:type="default" r:id="rId4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41"/>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describió el proceso administrativo actual de gestión de solicitudes de IDETEL, identificando un flujo de cuatro etapas (recepción, asignación, ejecución y cierre) que opera sin procedimientos escritos formales, dependiendo de canales informales de comunicación entre las áreas comercial, administrativa y técnica.</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deficiencias del control administrativo la ausencia de un sistema unificado de seguimiento de casos, la falta de formatos estandarizados de registro, la inexistencia de tiempos de respuesta definidos por etapa y la carencia de indicadores de gestión que permitan evaluar el desempeño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debilidades detectadas en el control administrativo generan impactos directos sobre la calidad del servicio percibida por los suscriptores, manifestados en tiempos de atención prolongados, falta de trazabilidad en el estatus de los casos y dificultades en la coordinación interdepartamental que derivan en reprocesos y quejas reiteradas.</w:t>
      </w:r>
    </w:p>
    <w:p>
      <w:pPr>
        <w:spacing w:line="360" w:lineRule="auto"/>
        <w:ind w:firstLine="709"/>
        <w:jc w:val="both"/>
      </w:pPr>
      <w:r>
        <w:rPr>
          <w:rFonts w:ascii="Times New Roman" w:hAnsi="Times New Roman"/>
          <w:sz w:val="24"/>
        </w:rPr>
        <w:t xml:space="preserve">4. </w:t>
      </w:r>
      <w:r>
        <w:rPr>
          <w:rFonts w:ascii="Times New Roman" w:hAnsi="Times New Roman"/>
          <w:sz w:val="24"/>
        </w:rPr>
        <w:t>Se formuló una propuesta de mejora al control administrativo que contempla un nuevo flujo de trabajo estandarizado con etapas y responsables definidos, formatos unificados de registro de solicitudes e incidencias, y un conjunto de indicadores de gestión para el monitoreo continuo del proceso de atención al suscriptor.</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de trabajo estandarizado propuesto, comenzando por la formalización del canal de recepción de solicitudes y la adopción de los formatos unificados de registro de afiliaciones e incidencias en todos los departamentos involucrados.</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de gestión de solicitudes con el personal de las áreas administrativa, comercial y técnica, garantizando que cada actor conozca su rol, sus responsabilidades y los tiempos máximos de respuesta establecidos para cada fase del proceso.</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atención al suscriptor, tales como el tiempo promedio de resolución de incidencias, el porcentaje de solicitudes cerradas dentro del plazo y el índice de reincidencias por caso, con seguimiento mensual por parte de la supervisión.</w:t>
      </w:r>
    </w:p>
    <w:p>
      <w:pPr>
        <w:spacing w:line="360" w:lineRule="auto"/>
        <w:ind w:firstLine="709"/>
        <w:jc w:val="both"/>
      </w:pPr>
      <w:r>
        <w:rPr>
          <w:rFonts w:ascii="Times New Roman" w:hAnsi="Times New Roman"/>
          <w:sz w:val="24"/>
        </w:rPr>
        <w:t xml:space="preserve">4. </w:t>
      </w:r>
      <w:r>
        <w:rPr>
          <w:rFonts w:ascii="Times New Roman" w:hAnsi="Times New Roman"/>
          <w:sz w:val="24"/>
        </w:rPr>
        <w:t>Evaluar la incorporación de una plataforma de gestión de tickets de código abierto que centralice el registro y seguimiento de solicitudes en tiempo real, eliminando la dependencia de canales informales de comunicación y dotando a la organización de trazabilidad completa sobre el ciclo de vida de cada caso.</w:t>
      </w:r>
    </w:p>
    <w:p>
      <w:pPr>
        <w:sectPr>
          <w:footerReference w:type="default" r:id="rId42"/>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3"/>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44"/>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5"/>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6"/>
          <w:pgSz w:w="12240" w:h="15840"/>
          <w:pgMar w:top="1701"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7"/>
          <w:pgSz w:w="12240" w:h="15840"/>
          <w:pgMar w:top="1701"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8"/>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 Id="rId43" Type="http://schemas.openxmlformats.org/officeDocument/2006/relationships/footer" Target="footer31.xml"/><Relationship Id="rId44" Type="http://schemas.openxmlformats.org/officeDocument/2006/relationships/footer" Target="footer32.xml"/><Relationship Id="rId45" Type="http://schemas.openxmlformats.org/officeDocument/2006/relationships/footer" Target="footer33.xml"/><Relationship Id="rId46" Type="http://schemas.openxmlformats.org/officeDocument/2006/relationships/footer" Target="footer34.xml"/><Relationship Id="rId47" Type="http://schemas.openxmlformats.org/officeDocument/2006/relationships/footer" Target="footer35.xml"/><Relationship Id="rId48" Type="http://schemas.openxmlformats.org/officeDocument/2006/relationships/footer" Target="footer3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