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oter13.xml" ContentType="application/vnd.openxmlformats-officedocument.wordprocessingml.footer+xml"/>
  <Override PartName="/word/footer14.xml" ContentType="application/vnd.openxmlformats-officedocument.wordprocessingml.footer+xml"/>
  <Override PartName="/word/footer15.xml" ContentType="application/vnd.openxmlformats-officedocument.wordprocessingml.footer+xml"/>
  <Override PartName="/word/footer16.xml" ContentType="application/vnd.openxmlformats-officedocument.wordprocessingml.footer+xml"/>
  <Override PartName="/word/footer17.xml" ContentType="application/vnd.openxmlformats-officedocument.wordprocessingml.footer+xml"/>
  <Override PartName="/word/footer18.xml" ContentType="application/vnd.openxmlformats-officedocument.wordprocessingml.footer+xml"/>
  <Override PartName="/word/footer19.xml" ContentType="application/vnd.openxmlformats-officedocument.wordprocessingml.footer+xml"/>
  <Override PartName="/word/footer2.xml" ContentType="application/vnd.openxmlformats-officedocument.wordprocessingml.footer+xml"/>
  <Override PartName="/word/footer20.xml" ContentType="application/vnd.openxmlformats-officedocument.wordprocessingml.footer+xml"/>
  <Override PartName="/word/footer21.xml" ContentType="application/vnd.openxmlformats-officedocument.wordprocessingml.footer+xml"/>
  <Override PartName="/word/footer22.xml" ContentType="application/vnd.openxmlformats-officedocument.wordprocessingml.footer+xml"/>
  <Override PartName="/word/footer23.xml" ContentType="application/vnd.openxmlformats-officedocument.wordprocessingml.footer+xml"/>
  <Override PartName="/word/footer24.xml" ContentType="application/vnd.openxmlformats-officedocument.wordprocessingml.footer+xml"/>
  <Override PartName="/word/footer25.xml" ContentType="application/vnd.openxmlformats-officedocument.wordprocessingml.footer+xml"/>
  <Override PartName="/word/footer26.xml" ContentType="application/vnd.openxmlformats-officedocument.wordprocessingml.footer+xml"/>
  <Override PartName="/word/footer27.xml" ContentType="application/vnd.openxmlformats-officedocument.wordprocessingml.footer+xml"/>
  <Override PartName="/word/footer28.xml" ContentType="application/vnd.openxmlformats-officedocument.wordprocessingml.footer+xml"/>
  <Override PartName="/word/footer29.xml" ContentType="application/vnd.openxmlformats-officedocument.wordprocessingml.footer+xml"/>
  <Override PartName="/word/footer3.xml" ContentType="application/vnd.openxmlformats-officedocument.wordprocessingml.footer+xml"/>
  <Override PartName="/word/footer30.xml" ContentType="application/vnd.openxmlformats-officedocument.wordprocessingml.footer+xml"/>
  <Override PartName="/word/footer31.xml" ContentType="application/vnd.openxmlformats-officedocument.wordprocessingml.footer+xml"/>
  <Override PartName="/word/footer32.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76" w:lineRule="auto" w:before="0" w:after="0"/>
        <w:jc w:val="center"/>
      </w:pPr>
      <w:r>
        <w:rPr>
          <w:rFonts w:ascii="Times New Roman" w:hAnsi="Times New Roman"/>
          <w:b/>
          <w:sz w:val="24"/>
        </w:rPr>
        <w:t>REPÚBLICA BOLIVARIANA DE VENEZUELA</w:t>
        <w:br/>
      </w:r>
      <w:r>
        <w:rPr>
          <w:rFonts w:ascii="Times New Roman" w:hAnsi="Times New Roman"/>
          <w:b/>
          <w:sz w:val="24"/>
        </w:rPr>
        <w:t>MINISTERIO DEL PODER POPULAR PARA LA EDUCACIÓN</w:t>
        <w:br/>
      </w:r>
      <w:r>
        <w:rPr>
          <w:rFonts w:ascii="Times New Roman" w:hAnsi="Times New Roman"/>
          <w:b/>
          <w:sz w:val="24"/>
        </w:rPr>
        <w:t>INSTITUTO UNIVERSITARIO DE TECNOLOGÍA</w:t>
        <w:br/>
      </w:r>
      <w:r>
        <w:rPr>
          <w:rFonts w:ascii="Times New Roman" w:hAnsi="Times New Roman"/>
          <w:b/>
          <w:sz w:val="24"/>
        </w:rPr>
        <w:t>"ELÍAS CALIXTO POMPA"</w:t>
        <w:br/>
      </w:r>
      <w:r>
        <w:rPr>
          <w:rFonts w:ascii="Times New Roman" w:hAnsi="Times New Roman"/>
          <w:b/>
          <w:sz w:val="24"/>
        </w:rPr>
        <w:t>EL TIGRE, ESTADO ANZOÁTEGUI</w:t>
      </w:r>
    </w:p>
    <w:p>
      <w:pPr>
        <w:spacing w:before="120" w:after="120"/>
        <w:jc w:val="center"/>
      </w:pPr>
      <w:r>
        <w:drawing>
          <wp:inline xmlns:a="http://schemas.openxmlformats.org/drawingml/2006/main" xmlns:pic="http://schemas.openxmlformats.org/drawingml/2006/picture">
            <wp:extent cx="1620000" cy="1440000"/>
            <wp:docPr id="1" name="Picture 1"/>
            <wp:cNvGraphicFramePr>
              <a:graphicFrameLocks noChangeAspect="1"/>
            </wp:cNvGraphicFramePr>
            <a:graphic>
              <a:graphicData uri="http://schemas.openxmlformats.org/drawingml/2006/picture">
                <pic:pic>
                  <pic:nvPicPr>
                    <pic:cNvPr id="0" name="iutecp.png"/>
                    <pic:cNvPicPr/>
                  </pic:nvPicPr>
                  <pic:blipFill>
                    <a:blip r:embed="rId9"/>
                    <a:stretch>
                      <a:fillRect/>
                    </a:stretch>
                  </pic:blipFill>
                  <pic:spPr>
                    <a:xfrm>
                      <a:off x="0" y="0"/>
                      <a:ext cx="1620000" cy="1440000"/>
                    </a:xfrm>
                    <a:prstGeom prst="rect"/>
                  </pic:spPr>
                </pic:pic>
              </a:graphicData>
            </a:graphic>
          </wp:inline>
        </w:drawing>
      </w:r>
    </w:p>
    <w:p>
      <w:pPr>
        <w:spacing w:line="276" w:lineRule="auto" w:before="1344" w:after="0"/>
        <w:jc w:val="center"/>
      </w:pPr>
      <w:r>
        <w:rPr>
          <w:rFonts w:ascii="Times New Roman" w:hAnsi="Times New Roman"/>
          <w:b/>
          <w:sz w:val="24"/>
        </w:rPr>
        <w:t>PROPUESTA DE OPTIMIZACIÓN DEL PROCESO DE PROCURA EN EL DEPARTAMENTO ADMINISTRATIVO DE LUBRICANTES Y EQUIPOS VARYNA, C.A.</w:t>
      </w:r>
    </w:p>
    <w:p>
      <w:pPr>
        <w:spacing w:line="276" w:lineRule="auto" w:before="2557" w:after="0"/>
        <w:jc w:val="right"/>
      </w:pPr>
      <w:r>
        <w:rPr>
          <w:rFonts w:ascii="Times New Roman" w:hAnsi="Times New Roman"/>
          <w:b/>
          <w:sz w:val="24"/>
        </w:rPr>
        <w:t>Autor:</w:t>
        <w:br/>
      </w:r>
      <w:r>
        <w:rPr>
          <w:rFonts w:ascii="Times New Roman" w:hAnsi="Times New Roman"/>
          <w:b/>
          <w:sz w:val="24"/>
        </w:rPr>
        <w:t>Keidy Guzmán</w:t>
        <w:br/>
      </w:r>
      <w:r>
        <w:rPr>
          <w:rFonts w:ascii="Times New Roman" w:hAnsi="Times New Roman"/>
          <w:b/>
          <w:sz w:val="24"/>
        </w:rPr>
        <w:t>C.I.: 28.706.352</w:t>
      </w:r>
    </w:p>
    <w:p>
      <w:pPr>
        <w:spacing w:line="276" w:lineRule="auto" w:before="2033" w:after="0"/>
        <w:jc w:val="center"/>
      </w:pPr>
      <w:r>
        <w:rPr>
          <w:rFonts w:ascii="Times New Roman" w:hAnsi="Times New Roman"/>
          <w:sz w:val="24"/>
        </w:rPr>
        <w:t>El Tigre, julio de 2026</w:t>
      </w:r>
    </w:p>
    <w:p>
      <w:pPr>
        <w:sectPr>
          <w:footerReference w:type="default" r:id="rId12"/>
          <w:pgSz w:w="12240" w:h="15840"/>
          <w:pgMar w:top="1701" w:right="1701" w:bottom="1701" w:left="2268" w:header="720" w:footer="720" w:gutter="0"/>
          <w:cols w:space="720"/>
          <w:docGrid w:linePitch="360"/>
        </w:sectPr>
      </w:pPr>
    </w:p>
    <w:p>
      <w:pPr>
        <w:spacing w:line="276" w:lineRule="auto" w:before="0" w:after="0"/>
        <w:jc w:val="center"/>
      </w:pPr>
      <w:r>
        <w:rPr>
          <w:rFonts w:ascii="Times New Roman" w:hAnsi="Times New Roman"/>
          <w:b/>
          <w:sz w:val="24"/>
        </w:rPr>
        <w:t>REPÚBLICA BOLIVARIANA DE VENEZUELA</w:t>
        <w:br/>
      </w:r>
      <w:r>
        <w:rPr>
          <w:rFonts w:ascii="Times New Roman" w:hAnsi="Times New Roman"/>
          <w:b/>
          <w:sz w:val="24"/>
        </w:rPr>
        <w:t>MINISTERIO DEL PODER POPULAR PARA LA EDUCACIÓN</w:t>
        <w:br/>
      </w:r>
      <w:r>
        <w:rPr>
          <w:rFonts w:ascii="Times New Roman" w:hAnsi="Times New Roman"/>
          <w:b/>
          <w:sz w:val="24"/>
        </w:rPr>
        <w:t>INSTITUTO UNIVERSITARIO DE TECNOLOGÍA</w:t>
        <w:br/>
      </w:r>
      <w:r>
        <w:rPr>
          <w:rFonts w:ascii="Times New Roman" w:hAnsi="Times New Roman"/>
          <w:b/>
          <w:sz w:val="24"/>
        </w:rPr>
        <w:t>"ELÍAS CALIXTO POMPA"</w:t>
        <w:br/>
      </w:r>
      <w:r>
        <w:rPr>
          <w:rFonts w:ascii="Times New Roman" w:hAnsi="Times New Roman"/>
          <w:b/>
          <w:sz w:val="24"/>
        </w:rPr>
        <w:t>EL TIGRE, ESTADO ANZOÁTEGUI</w:t>
      </w:r>
    </w:p>
    <w:p>
      <w:pPr>
        <w:spacing w:line="276" w:lineRule="auto" w:before="2973" w:after="0"/>
        <w:jc w:val="center"/>
      </w:pPr>
      <w:r>
        <w:rPr>
          <w:rFonts w:ascii="Times New Roman" w:hAnsi="Times New Roman"/>
          <w:b/>
          <w:sz w:val="24"/>
        </w:rPr>
        <w:t>PROPUESTA DE OPTIMIZACIÓN DEL PROCESO DE PROCURA EN EL DEPARTAMENTO ADMINISTRATIVO DE LUBRICANTES Y EQUIPOS VARYNA, C.A.</w:t>
      </w:r>
    </w:p>
    <w:p>
      <w:pPr>
        <w:spacing w:before="2309" w:after="0" w:line="20" w:lineRule="exact"/>
      </w:pPr>
    </w:p>
    <w:tbl>
      <w:tblPr>
        <w:tblW w:type="auto" w:w="0"/>
        <w:jc w:val="center"/>
        <w:tblLook w:firstColumn="1" w:firstRow="1" w:lastColumn="0" w:lastRow="0" w:noHBand="0" w:noVBand="1" w:val="04A0"/>
        <w:tblBorders>
          <w:top w:val="none" w:sz="0"/>
          <w:left w:val="none" w:sz="0"/>
          <w:bottom w:val="none" w:sz="0"/>
          <w:right w:val="none" w:sz="0"/>
          <w:insideH w:val="none" w:sz="0"/>
          <w:insideV w:val="none" w:sz="0"/>
        </w:tblBorders>
      </w:tblPr>
      <w:tblGrid>
        <w:gridCol w:w="4135"/>
        <w:gridCol w:w="4135"/>
      </w:tblGrid>
      <w:tr>
        <w:tc>
          <w:tcPr>
            <w:tcW w:type="dxa" w:w="4133"/>
            <w:vAlign w:val="top"/>
          </w:tcPr>
          <w:p>
            <w:pPr>
              <w:spacing w:line="276" w:lineRule="auto"/>
              <w:jc w:val="left"/>
            </w:pPr>
            <w:r>
              <w:rPr>
                <w:rFonts w:ascii="Times New Roman" w:hAnsi="Times New Roman"/>
                <w:b/>
                <w:sz w:val="24"/>
              </w:rPr>
              <w:t>Tutor Industrial:</w:t>
              <w:br/>
            </w:r>
            <w:r>
              <w:rPr>
                <w:rFonts w:ascii="Times New Roman" w:hAnsi="Times New Roman"/>
                <w:b/>
                <w:sz w:val="24"/>
              </w:rPr>
              <w:t>Martina Rondón</w:t>
              <w:br/>
            </w:r>
            <w:r>
              <w:rPr>
                <w:rFonts w:ascii="Times New Roman" w:hAnsi="Times New Roman"/>
                <w:b/>
                <w:sz w:val="24"/>
              </w:rPr>
              <w:t>C.I.: 12.208.768</w:t>
              <w:br/>
            </w:r>
            <w:r>
              <w:rPr>
                <w:rFonts w:ascii="Times New Roman" w:hAnsi="Times New Roman"/>
                <w:b/>
                <w:sz w:val="24"/>
              </w:rPr>
              <w:br/>
            </w:r>
            <w:r>
              <w:rPr>
                <w:rFonts w:ascii="Times New Roman" w:hAnsi="Times New Roman"/>
                <w:b/>
                <w:sz w:val="24"/>
              </w:rPr>
              <w:t>Tutor Académico:</w:t>
              <w:br/>
            </w:r>
            <w:r>
              <w:rPr>
                <w:rFonts w:ascii="Times New Roman" w:hAnsi="Times New Roman"/>
                <w:b/>
                <w:sz w:val="24"/>
              </w:rPr>
              <w:t>Dra. Carmen J. Álvarez</w:t>
              <w:br/>
            </w:r>
            <w:r>
              <w:rPr>
                <w:rFonts w:ascii="Times New Roman" w:hAnsi="Times New Roman"/>
                <w:b/>
                <w:sz w:val="24"/>
              </w:rPr>
              <w:t>C.I.: 14.452.956</w:t>
            </w:r>
          </w:p>
        </w:tc>
        <w:tc>
          <w:tcPr>
            <w:tcW w:type="dxa" w:w="4139"/>
            <w:vAlign w:val="top"/>
          </w:tcPr>
          <w:p>
            <w:pPr>
              <w:spacing w:line="276" w:lineRule="auto"/>
              <w:jc w:val="right"/>
            </w:pPr>
            <w:r>
              <w:rPr>
                <w:rFonts w:ascii="Times New Roman" w:hAnsi="Times New Roman"/>
                <w:b/>
                <w:sz w:val="24"/>
              </w:rPr>
              <w:t>Autor:</w:t>
              <w:br/>
            </w:r>
            <w:r>
              <w:rPr>
                <w:rFonts w:ascii="Times New Roman" w:hAnsi="Times New Roman"/>
                <w:b/>
                <w:sz w:val="24"/>
              </w:rPr>
              <w:t>Keidy Guzmán</w:t>
              <w:br/>
            </w:r>
            <w:r>
              <w:rPr>
                <w:rFonts w:ascii="Times New Roman" w:hAnsi="Times New Roman"/>
                <w:b/>
                <w:sz w:val="24"/>
              </w:rPr>
              <w:t>C.I.: 28.706.352</w:t>
            </w:r>
          </w:p>
        </w:tc>
      </w:tr>
    </w:tbl>
    <w:p>
      <w:pPr>
        <w:spacing w:line="276" w:lineRule="auto" w:before="501" w:after="0"/>
        <w:jc w:val="center"/>
      </w:pPr>
      <w:r>
        <w:rPr>
          <w:rFonts w:ascii="Times New Roman" w:hAnsi="Times New Roman"/>
          <w:sz w:val="24"/>
        </w:rPr>
        <w:t>El Tigre, julio de 2026</w:t>
      </w:r>
    </w:p>
    <w:p>
      <w:pPr>
        <w:sectPr>
          <w:footerReference w:type="default" r:id="rId13"/>
          <w:pgSz w:w="12240" w:h="15840"/>
          <w:pgMar w:top="1701" w:right="1701" w:bottom="1701" w:left="2268" w:header="720" w:footer="720" w:gutter="0"/>
          <w:cols w:space="720"/>
          <w:titlePg/>
          <w:docGrid w:linePitch="360"/>
        </w:sectPr>
      </w:pPr>
    </w:p>
    <w:p>
      <w:bookmarkStart w:id="bm_agradecimientos" w:name="bm_agradecimientos"/>
      <w:pPr>
        <w:spacing w:after="480"/>
        <w:jc w:val="center"/>
      </w:pPr>
      <w:r>
        <w:rPr>
          <w:rFonts w:ascii="Times New Roman" w:hAnsi="Times New Roman"/>
          <w:b/>
          <w:sz w:val="24"/>
        </w:rPr>
        <w:t>AGRADECIMIENTOS</w:t>
      </w:r>
      <w:bookmarkEnd w:id="bm_agradecimientos"/>
    </w:p>
    <w:p>
      <w:pPr>
        <w:sectPr>
          <w:footerReference w:type="default" r:id="rId14"/>
          <w:pgSz w:w="12240" w:h="15840"/>
          <w:pgMar w:top="2835" w:right="1701" w:bottom="1701" w:left="2268" w:header="720" w:footer="720" w:gutter="0"/>
          <w:cols w:space="720"/>
          <w:titlePg/>
          <w:docGrid w:linePitch="360"/>
        </w:sectPr>
      </w:pPr>
    </w:p>
    <w:p>
      <w:pPr>
        <w:spacing w:line="360" w:lineRule="auto" w:after="0" w:before="0"/>
        <w:ind w:firstLine="709"/>
        <w:jc w:val="both"/>
      </w:pPr>
      <w:r>
        <w:rPr>
          <w:rFonts w:ascii="Times New Roman" w:hAnsi="Times New Roman"/>
          <w:i w:val="0"/>
          <w:sz w:val="24"/>
        </w:rPr>
        <w:t>Aquí van los agradecimientos.</w:t>
      </w:r>
    </w:p>
    <w:p>
      <w:pPr>
        <w:sectPr>
          <w:footerReference w:type="default" r:id="rId15"/>
          <w:type w:val="continuous"/>
          <w:pgSz w:w="12240" w:h="15840"/>
          <w:pgMar w:top="1701" w:right="1701" w:bottom="1701" w:left="2268" w:header="720" w:footer="720" w:gutter="0"/>
          <w:cols w:space="720"/>
          <w:titlePg/>
          <w:docGrid w:linePitch="360"/>
        </w:sectPr>
      </w:pPr>
    </w:p>
    <w:p>
      <w:bookmarkStart w:id="bm_dedicatoria" w:name="bm_dedicatoria"/>
      <w:pPr>
        <w:spacing w:after="480"/>
        <w:jc w:val="center"/>
      </w:pPr>
      <w:r>
        <w:rPr>
          <w:rFonts w:ascii="Times New Roman" w:hAnsi="Times New Roman"/>
          <w:b/>
          <w:sz w:val="24"/>
        </w:rPr>
        <w:t>DEDICATORIA</w:t>
      </w:r>
      <w:bookmarkEnd w:id="bm_dedicatoria"/>
    </w:p>
    <w:p>
      <w:pPr>
        <w:sectPr>
          <w:footerReference w:type="default" r:id="rId16"/>
          <w:pgSz w:w="12240" w:h="15840"/>
          <w:pgMar w:top="2835" w:right="1701" w:bottom="1701" w:left="2268" w:header="720" w:footer="720" w:gutter="0"/>
          <w:cols w:space="720"/>
          <w:titlePg/>
          <w:docGrid w:linePitch="360"/>
        </w:sectPr>
      </w:pPr>
    </w:p>
    <w:p>
      <w:pPr>
        <w:spacing w:line="360" w:lineRule="auto" w:after="0" w:before="0"/>
        <w:ind w:firstLine="709"/>
        <w:jc w:val="both"/>
      </w:pPr>
      <w:r>
        <w:rPr>
          <w:rFonts w:ascii="Times New Roman" w:hAnsi="Times New Roman"/>
          <w:i w:val="0"/>
          <w:sz w:val="24"/>
        </w:rPr>
        <w:t>Aquí va la dedicatoria.</w:t>
      </w:r>
    </w:p>
    <w:p>
      <w:pPr>
        <w:sectPr>
          <w:footerReference w:type="default" r:id="rId17"/>
          <w:type w:val="continuous"/>
          <w:pgSz w:w="12240" w:h="15840"/>
          <w:pgMar w:top="1701" w:right="1701" w:bottom="1701" w:left="2268" w:header="720" w:footer="720" w:gutter="0"/>
          <w:cols w:space="720"/>
          <w:titlePg/>
          <w:docGrid w:linePitch="360"/>
        </w:sectPr>
      </w:pPr>
    </w:p>
    <w:p>
      <w:pPr>
        <w:spacing w:after="480"/>
        <w:jc w:val="center"/>
      </w:pPr>
      <w:r>
        <w:rPr>
          <w:rFonts w:ascii="Times New Roman" w:hAnsi="Times New Roman"/>
          <w:b/>
          <w:sz w:val="24"/>
        </w:rPr>
        <w:t>ÍNDICE DE CONTENIDO</w:t>
      </w:r>
    </w:p>
    <w:p>
      <w:pPr>
        <w:sectPr>
          <w:pgSz w:w="12240" w:h="15840"/>
          <w:pgMar w:top="2835" w:right="1701" w:bottom="1701" w:left="2268" w:header="720" w:footer="720" w:gutter="0"/>
          <w:cols w:space="720"/>
          <w:titlePg/>
          <w:docGrid w:linePitch="360"/>
        </w:sectPr>
      </w:pPr>
    </w:p>
    <w:p>
      <w:pPr>
        <w:spacing w:after="240"/>
        <w:jc w:val="right"/>
      </w:pPr>
      <w:r>
        <w:rPr>
          <w:rFonts w:ascii="Times New Roman" w:hAnsi="Times New Roman"/>
          <w:b/>
          <w:sz w:val="24"/>
        </w:rPr>
        <w:t>pp.</w:t>
      </w:r>
    </w:p>
    <w:p>
      <w:pPr>
        <w:tabs>
          <w:tab w:pos="8271" w:val="right" w:leader="dot"/>
        </w:tabs>
        <w:spacing w:line="360" w:lineRule="auto" w:before="0" w:after="80"/>
        <w:ind w:left="0"/>
      </w:pPr>
      <w:r>
        <w:rPr>
          <w:rFonts w:ascii="Times New Roman" w:hAnsi="Times New Roman"/>
          <w:b w:val="0"/>
          <w:sz w:val="24"/>
        </w:rPr>
        <w:t>AGRADECIMIENTOS</w:t>
        <w:tab/>
      </w:r>
      <w:r>
        <w:rPr>
          <w:rFonts w:ascii="Times New Roman" w:hAnsi="Times New Roman"/>
          <w:b w:val="0"/>
          <w:sz w:val="24"/>
        </w:rPr>
        <w:fldChar w:fldCharType="begin"/>
        <w:instrText xml:space="preserve"> PAGEREF bm_agradecimientos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DEDICATORIA</w:t>
        <w:tab/>
      </w:r>
      <w:r>
        <w:rPr>
          <w:rFonts w:ascii="Times New Roman" w:hAnsi="Times New Roman"/>
          <w:b w:val="0"/>
          <w:sz w:val="24"/>
        </w:rPr>
        <w:fldChar w:fldCharType="begin"/>
        <w:instrText xml:space="preserve"> PAGEREF bm_dedicatoria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LISTA DE CUADROS</w:t>
        <w:tab/>
      </w:r>
      <w:r>
        <w:rPr>
          <w:rFonts w:ascii="Times New Roman" w:hAnsi="Times New Roman"/>
          <w:b w:val="0"/>
          <w:sz w:val="24"/>
        </w:rPr>
        <w:fldChar w:fldCharType="begin"/>
        <w:instrText xml:space="preserve"> PAGEREF bm_lista_cuadros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LISTA DE GRÁFICOS</w:t>
        <w:tab/>
      </w:r>
      <w:r>
        <w:rPr>
          <w:rFonts w:ascii="Times New Roman" w:hAnsi="Times New Roman"/>
          <w:b w:val="0"/>
          <w:sz w:val="24"/>
        </w:rPr>
        <w:fldChar w:fldCharType="begin"/>
        <w:instrText xml:space="preserve"> PAGEREF bm_lista_graficos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LISTA DE ANEXOS</w:t>
        <w:tab/>
      </w:r>
      <w:r>
        <w:rPr>
          <w:rFonts w:ascii="Times New Roman" w:hAnsi="Times New Roman"/>
          <w:b w:val="0"/>
          <w:sz w:val="24"/>
        </w:rPr>
        <w:fldChar w:fldCharType="begin"/>
        <w:instrText xml:space="preserve"> PAGEREF bm_lista_anexos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RESUMEN</w:t>
        <w:tab/>
      </w:r>
      <w:r>
        <w:rPr>
          <w:rFonts w:ascii="Times New Roman" w:hAnsi="Times New Roman"/>
          <w:b w:val="0"/>
          <w:sz w:val="24"/>
        </w:rPr>
        <w:fldChar w:fldCharType="begin"/>
        <w:instrText xml:space="preserve"> PAGEREF bm_resumen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INTRODUCCIÓN</w:t>
        <w:tab/>
      </w:r>
      <w:r>
        <w:rPr>
          <w:rFonts w:ascii="Times New Roman" w:hAnsi="Times New Roman"/>
          <w:b w:val="0"/>
          <w:sz w:val="24"/>
        </w:rPr>
        <w:fldChar w:fldCharType="begin"/>
        <w:instrText xml:space="preserve"> PAGEREF bm_introduccion \h </w:instrText>
        <w:fldChar w:fldCharType="separate"/>
        <w:t>?</w:t>
        <w:fldChar w:fldCharType="end"/>
      </w:r>
    </w:p>
    <w:p>
      <w:pPr>
        <w:spacing w:before="240" w:after="120"/>
      </w:pPr>
      <w:r>
        <w:rPr>
          <w:b/>
        </w:rPr>
        <w:t>CAPÍTULOS</w:t>
      </w:r>
    </w:p>
    <w:p>
      <w:pPr>
        <w:tabs>
          <w:tab w:pos="8271" w:val="right" w:leader="dot"/>
        </w:tabs>
        <w:spacing w:line="360" w:lineRule="auto" w:before="0" w:after="80"/>
        <w:ind w:left="0"/>
      </w:pPr>
      <w:r>
        <w:rPr>
          <w:rFonts w:ascii="Times New Roman" w:hAnsi="Times New Roman"/>
          <w:b/>
          <w:sz w:val="24"/>
        </w:rPr>
        <w:t>I REALIDAD ORGANIZACIONAL</w:t>
        <w:tab/>
      </w:r>
      <w:r>
        <w:rPr>
          <w:rFonts w:ascii="Times New Roman" w:hAnsi="Times New Roman"/>
          <w:b/>
          <w:sz w:val="24"/>
        </w:rPr>
        <w:fldChar w:fldCharType="begin"/>
        <w:instrText xml:space="preserve"> PAGEREF bm_cap1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Identificación de la empresa</w:t>
        <w:tab/>
      </w:r>
      <w:r>
        <w:rPr>
          <w:rFonts w:ascii="Times New Roman" w:hAnsi="Times New Roman"/>
          <w:b w:val="0"/>
          <w:sz w:val="24"/>
        </w:rPr>
        <w:fldChar w:fldCharType="begin"/>
        <w:instrText xml:space="preserve"> PAGEREF bm_cap1_ident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Reseña histórica</w:t>
        <w:tab/>
      </w:r>
      <w:r>
        <w:rPr>
          <w:rFonts w:ascii="Times New Roman" w:hAnsi="Times New Roman"/>
          <w:b w:val="0"/>
          <w:sz w:val="24"/>
        </w:rPr>
        <w:fldChar w:fldCharType="begin"/>
        <w:instrText xml:space="preserve"> PAGEREF bm_cap1_resena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Misión</w:t>
        <w:tab/>
      </w:r>
      <w:r>
        <w:rPr>
          <w:rFonts w:ascii="Times New Roman" w:hAnsi="Times New Roman"/>
          <w:b w:val="0"/>
          <w:sz w:val="24"/>
        </w:rPr>
        <w:fldChar w:fldCharType="begin"/>
        <w:instrText xml:space="preserve"> PAGEREF bm_cap1_mision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Visión</w:t>
        <w:tab/>
      </w:r>
      <w:r>
        <w:rPr>
          <w:rFonts w:ascii="Times New Roman" w:hAnsi="Times New Roman"/>
          <w:b w:val="0"/>
          <w:sz w:val="24"/>
        </w:rPr>
        <w:fldChar w:fldCharType="begin"/>
        <w:instrText xml:space="preserve"> PAGEREF bm_cap1_vision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Valores</w:t>
        <w:tab/>
      </w:r>
      <w:r>
        <w:rPr>
          <w:rFonts w:ascii="Times New Roman" w:hAnsi="Times New Roman"/>
          <w:b w:val="0"/>
          <w:sz w:val="24"/>
        </w:rPr>
        <w:fldChar w:fldCharType="begin"/>
        <w:instrText xml:space="preserve"> PAGEREF bm_cap1_valores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Objetivos Organizacionales</w:t>
        <w:tab/>
      </w:r>
      <w:r>
        <w:rPr>
          <w:rFonts w:ascii="Times New Roman" w:hAnsi="Times New Roman"/>
          <w:b w:val="0"/>
          <w:sz w:val="24"/>
        </w:rPr>
        <w:fldChar w:fldCharType="begin"/>
        <w:instrText xml:space="preserve"> PAGEREF bm_cap1_obj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Ubicación geográfica</w:t>
        <w:tab/>
      </w:r>
      <w:r>
        <w:rPr>
          <w:rFonts w:ascii="Times New Roman" w:hAnsi="Times New Roman"/>
          <w:b w:val="0"/>
          <w:sz w:val="24"/>
        </w:rPr>
        <w:fldChar w:fldCharType="begin"/>
        <w:instrText xml:space="preserve"> PAGEREF bm_cap1_ubic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Población de los trabajadores de la empresa</w:t>
        <w:tab/>
      </w:r>
      <w:r>
        <w:rPr>
          <w:rFonts w:ascii="Times New Roman" w:hAnsi="Times New Roman"/>
          <w:b w:val="0"/>
          <w:sz w:val="24"/>
        </w:rPr>
        <w:fldChar w:fldCharType="begin"/>
        <w:instrText xml:space="preserve"> PAGEREF bm_cap1_pobla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Estructura organizacional de la empresa (organigrama)</w:t>
        <w:tab/>
      </w:r>
      <w:r>
        <w:rPr>
          <w:rFonts w:ascii="Times New Roman" w:hAnsi="Times New Roman"/>
          <w:b w:val="0"/>
          <w:sz w:val="24"/>
        </w:rPr>
        <w:fldChar w:fldCharType="begin"/>
        <w:instrText xml:space="preserve"> PAGEREF bm_cap1_estruct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II DIAGNÓSTICO SITUACIONAL</w:t>
        <w:tab/>
      </w:r>
      <w:r>
        <w:rPr>
          <w:rFonts w:ascii="Times New Roman" w:hAnsi="Times New Roman"/>
          <w:b/>
          <w:sz w:val="24"/>
        </w:rPr>
        <w:fldChar w:fldCharType="begin"/>
        <w:instrText xml:space="preserve"> PAGEREF bm_cap2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Identificación de la situación problemática</w:t>
        <w:tab/>
      </w:r>
      <w:r>
        <w:rPr>
          <w:rFonts w:ascii="Times New Roman" w:hAnsi="Times New Roman"/>
          <w:b w:val="0"/>
          <w:sz w:val="24"/>
        </w:rPr>
        <w:fldChar w:fldCharType="begin"/>
        <w:instrText xml:space="preserve"> PAGEREF bm_cap2_sit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Objetivo General</w:t>
        <w:tab/>
      </w:r>
      <w:r>
        <w:rPr>
          <w:rFonts w:ascii="Times New Roman" w:hAnsi="Times New Roman"/>
          <w:b w:val="0"/>
          <w:sz w:val="24"/>
        </w:rPr>
        <w:fldChar w:fldCharType="begin"/>
        <w:instrText xml:space="preserve"> PAGEREF bm_cap2_objg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Objetivos Específicos</w:t>
        <w:tab/>
      </w:r>
      <w:r>
        <w:rPr>
          <w:rFonts w:ascii="Times New Roman" w:hAnsi="Times New Roman"/>
          <w:b w:val="0"/>
          <w:sz w:val="24"/>
        </w:rPr>
        <w:fldChar w:fldCharType="begin"/>
        <w:instrText xml:space="preserve"> PAGEREF bm_cap2_obje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Planificación integral de objetivos</w:t>
        <w:tab/>
      </w:r>
      <w:r>
        <w:rPr>
          <w:rFonts w:ascii="Times New Roman" w:hAnsi="Times New Roman"/>
          <w:b w:val="0"/>
          <w:sz w:val="24"/>
        </w:rPr>
        <w:fldChar w:fldCharType="begin"/>
        <w:instrText xml:space="preserve"> PAGEREF bm_cap2_planif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Cronograma de actividades</w:t>
        <w:tab/>
      </w:r>
      <w:r>
        <w:rPr>
          <w:rFonts w:ascii="Times New Roman" w:hAnsi="Times New Roman"/>
          <w:b w:val="0"/>
          <w:sz w:val="24"/>
        </w:rPr>
        <w:fldChar w:fldCharType="begin"/>
        <w:instrText xml:space="preserve"> PAGEREF bm_cap2_crono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III MARCO TEÓRICO</w:t>
        <w:tab/>
      </w:r>
      <w:r>
        <w:rPr>
          <w:rFonts w:ascii="Times New Roman" w:hAnsi="Times New Roman"/>
          <w:b/>
          <w:sz w:val="24"/>
        </w:rPr>
        <w:fldChar w:fldCharType="begin"/>
        <w:instrText xml:space="preserve"> PAGEREF bm_cap3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Bases teóricas referenciales</w:t>
        <w:tab/>
      </w:r>
      <w:r>
        <w:rPr>
          <w:rFonts w:ascii="Times New Roman" w:hAnsi="Times New Roman"/>
          <w:b w:val="0"/>
          <w:sz w:val="24"/>
        </w:rPr>
        <w:fldChar w:fldCharType="begin"/>
        <w:instrText xml:space="preserve"> PAGEREF bm_cap3_bases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IV ACTIVIDADES REALIZADAS</w:t>
        <w:tab/>
      </w:r>
      <w:r>
        <w:rPr>
          <w:rFonts w:ascii="Times New Roman" w:hAnsi="Times New Roman"/>
          <w:b/>
          <w:sz w:val="24"/>
        </w:rPr>
        <w:fldChar w:fldCharType="begin"/>
        <w:instrText xml:space="preserve"> PAGEREF bm_cap4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Descripción de actividades ejecutadas por semana</w:t>
        <w:tab/>
      </w:r>
      <w:r>
        <w:rPr>
          <w:rFonts w:ascii="Times New Roman" w:hAnsi="Times New Roman"/>
          <w:b w:val="0"/>
          <w:sz w:val="24"/>
        </w:rPr>
        <w:fldChar w:fldCharType="begin"/>
        <w:instrText xml:space="preserve"> PAGEREF bm_cap4_desc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V CONCLUSIONES Y RECOMENDACIONES</w:t>
        <w:tab/>
      </w:r>
      <w:r>
        <w:rPr>
          <w:rFonts w:ascii="Times New Roman" w:hAnsi="Times New Roman"/>
          <w:b/>
          <w:sz w:val="24"/>
        </w:rPr>
        <w:fldChar w:fldCharType="begin"/>
        <w:instrText xml:space="preserve"> PAGEREF bm_cap5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Conclusiones</w:t>
        <w:tab/>
      </w:r>
      <w:r>
        <w:rPr>
          <w:rFonts w:ascii="Times New Roman" w:hAnsi="Times New Roman"/>
          <w:b w:val="0"/>
          <w:sz w:val="24"/>
        </w:rPr>
        <w:fldChar w:fldCharType="begin"/>
        <w:instrText xml:space="preserve"> PAGEREF bm_cap5_concl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Recomendaciones</w:t>
        <w:tab/>
      </w:r>
      <w:r>
        <w:rPr>
          <w:rFonts w:ascii="Times New Roman" w:hAnsi="Times New Roman"/>
          <w:b w:val="0"/>
          <w:sz w:val="24"/>
        </w:rPr>
        <w:fldChar w:fldCharType="begin"/>
        <w:instrText xml:space="preserve"> PAGEREF bm_cap5_recom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REFERENCIAS</w:t>
        <w:tab/>
      </w:r>
      <w:r>
        <w:rPr>
          <w:rFonts w:ascii="Times New Roman" w:hAnsi="Times New Roman"/>
          <w:b/>
          <w:sz w:val="24"/>
        </w:rPr>
        <w:fldChar w:fldCharType="begin"/>
        <w:instrText xml:space="preserve"> PAGEREF bm_referencias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ANEXOS</w:t>
        <w:tab/>
      </w:r>
      <w:r>
        <w:rPr>
          <w:rFonts w:ascii="Times New Roman" w:hAnsi="Times New Roman"/>
          <w:b/>
          <w:sz w:val="24"/>
        </w:rPr>
        <w:fldChar w:fldCharType="begin"/>
        <w:instrText xml:space="preserve"> PAGEREF bm_anexos \h </w:instrText>
        <w:fldChar w:fldCharType="separate"/>
        <w:t>?</w:t>
        <w:fldChar w:fldCharType="end"/>
      </w:r>
    </w:p>
    <w:p>
      <w:pPr>
        <w:sectPr>
          <w:type w:val="continuous"/>
          <w:pgSz w:w="12240" w:h="15840"/>
          <w:pgMar w:top="1701" w:right="1701" w:bottom="1701" w:left="2268" w:header="720" w:footer="720" w:gutter="0"/>
          <w:cols w:space="720"/>
          <w:titlePg/>
          <w:docGrid w:linePitch="360"/>
        </w:sectPr>
      </w:pPr>
    </w:p>
    <w:p>
      <w:bookmarkStart w:id="bm_lista_cuadros" w:name="bm_lista_cuadros"/>
      <w:pPr>
        <w:spacing w:after="480"/>
        <w:jc w:val="center"/>
      </w:pPr>
      <w:r>
        <w:rPr>
          <w:rFonts w:ascii="Times New Roman" w:hAnsi="Times New Roman"/>
          <w:b/>
          <w:sz w:val="24"/>
        </w:rPr>
        <w:t>LISTA DE CUADROS</w:t>
      </w:r>
      <w:bookmarkEnd w:id="bm_lista_cuadros"/>
    </w:p>
    <w:p>
      <w:pPr>
        <w:sectPr>
          <w:footerReference w:type="default" r:id="rId18"/>
          <w:pgSz w:w="12240" w:h="15840"/>
          <w:pgMar w:top="2835" w:right="1701" w:bottom="1701" w:left="2268" w:header="720" w:footer="720" w:gutter="0"/>
          <w:cols w:space="720"/>
          <w:titlePg/>
          <w:docGrid w:linePitch="360"/>
        </w:sectPr>
      </w:pPr>
    </w:p>
    <w:p>
      <w:pPr>
        <w:tabs>
          <w:tab w:pos="8271" w:val="right"/>
        </w:tabs>
        <w:spacing w:before="240" w:after="240"/>
      </w:pPr>
      <w:r>
        <w:rPr>
          <w:rFonts w:ascii="Times New Roman" w:hAnsi="Times New Roman"/>
          <w:b/>
          <w:sz w:val="24"/>
        </w:rPr>
        <w:t>CUADRO</w:t>
      </w:r>
      <w:r>
        <w:tab/>
      </w:r>
      <w:r>
        <w:rPr>
          <w:rFonts w:ascii="Times New Roman" w:hAnsi="Times New Roman"/>
          <w:b/>
          <w:sz w:val="24"/>
        </w:rPr>
        <w:t>pp.</w:t>
      </w:r>
    </w:p>
    <w:p>
      <w:pPr>
        <w:tabs>
          <w:tab w:pos="1020" w:val="left"/>
          <w:tab w:pos="8271" w:val="right" w:leader="dot"/>
        </w:tabs>
        <w:spacing w:line="360" w:lineRule="auto" w:before="0" w:after="80"/>
        <w:ind w:left="1020" w:hanging="1020"/>
      </w:pPr>
      <w:r>
        <w:rPr>
          <w:rFonts w:ascii="Times New Roman" w:hAnsi="Times New Roman"/>
          <w:sz w:val="24"/>
        </w:rPr>
        <w:t>1</w:t>
        <w:tab/>
        <w:t>Planificación integral de objetivos específicos</w:t>
        <w:tab/>
      </w:r>
      <w:r>
        <w:rPr>
          <w:rFonts w:ascii="Times New Roman" w:hAnsi="Times New Roman"/>
          <w:b w:val="0"/>
          <w:sz w:val="24"/>
        </w:rPr>
        <w:fldChar w:fldCharType="begin"/>
        <w:instrText xml:space="preserve"> PAGEREF bm_cuadro1 \h </w:instrText>
        <w:fldChar w:fldCharType="separate"/>
        <w:t>?</w:t>
        <w:fldChar w:fldCharType="end"/>
      </w:r>
    </w:p>
    <w:p>
      <w:pPr>
        <w:tabs>
          <w:tab w:pos="1020" w:val="left"/>
          <w:tab w:pos="8271" w:val="right" w:leader="dot"/>
        </w:tabs>
        <w:spacing w:line="360" w:lineRule="auto" w:before="0" w:after="80"/>
        <w:ind w:left="1020" w:hanging="1020"/>
      </w:pPr>
      <w:r>
        <w:rPr>
          <w:rFonts w:ascii="Times New Roman" w:hAnsi="Times New Roman"/>
          <w:sz w:val="24"/>
        </w:rPr>
        <w:t>2</w:t>
        <w:tab/>
        <w:t>Cronograma de actividades del proyecto</w:t>
        <w:tab/>
      </w:r>
      <w:r>
        <w:rPr>
          <w:rFonts w:ascii="Times New Roman" w:hAnsi="Times New Roman"/>
          <w:b w:val="0"/>
          <w:sz w:val="24"/>
        </w:rPr>
        <w:fldChar w:fldCharType="begin"/>
        <w:instrText xml:space="preserve"> PAGEREF bm_cuadro2 \h </w:instrText>
        <w:fldChar w:fldCharType="separate"/>
        <w:t>?</w:t>
        <w:fldChar w:fldCharType="end"/>
      </w:r>
    </w:p>
    <w:p>
      <w:pPr>
        <w:sectPr>
          <w:footerReference w:type="default" r:id="rId19"/>
          <w:type w:val="continuous"/>
          <w:pgSz w:w="12240" w:h="15840"/>
          <w:pgMar w:top="1701" w:right="1701" w:bottom="1701" w:left="2268" w:header="720" w:footer="720" w:gutter="0"/>
          <w:cols w:space="720"/>
          <w:titlePg/>
          <w:docGrid w:linePitch="360"/>
        </w:sectPr>
      </w:pPr>
    </w:p>
    <w:p>
      <w:bookmarkStart w:id="bm_lista_graficos" w:name="bm_lista_graficos"/>
      <w:pPr>
        <w:spacing w:after="480"/>
        <w:jc w:val="center"/>
      </w:pPr>
      <w:r>
        <w:rPr>
          <w:rFonts w:ascii="Times New Roman" w:hAnsi="Times New Roman"/>
          <w:b/>
          <w:sz w:val="24"/>
        </w:rPr>
        <w:t>LISTA DE GRÁFICOS</w:t>
      </w:r>
      <w:bookmarkEnd w:id="bm_lista_graficos"/>
    </w:p>
    <w:p>
      <w:pPr>
        <w:sectPr>
          <w:footerReference w:type="default" r:id="rId20"/>
          <w:pgSz w:w="12240" w:h="15840"/>
          <w:pgMar w:top="2835" w:right="1701" w:bottom="1701" w:left="2268" w:header="720" w:footer="720" w:gutter="0"/>
          <w:cols w:space="720"/>
          <w:titlePg/>
          <w:docGrid w:linePitch="360"/>
        </w:sectPr>
      </w:pPr>
    </w:p>
    <w:p>
      <w:pPr>
        <w:tabs>
          <w:tab w:pos="8271" w:val="right"/>
        </w:tabs>
        <w:spacing w:before="240" w:after="240"/>
      </w:pPr>
      <w:r>
        <w:rPr>
          <w:rFonts w:ascii="Times New Roman" w:hAnsi="Times New Roman"/>
          <w:b/>
          <w:sz w:val="24"/>
        </w:rPr>
        <w:t>GRÁFICO</w:t>
      </w:r>
      <w:r>
        <w:tab/>
      </w:r>
      <w:r>
        <w:rPr>
          <w:rFonts w:ascii="Times New Roman" w:hAnsi="Times New Roman"/>
          <w:b/>
          <w:sz w:val="24"/>
        </w:rPr>
        <w:t>pp.</w:t>
      </w:r>
    </w:p>
    <w:p>
      <w:pPr>
        <w:tabs>
          <w:tab w:pos="1020" w:val="left"/>
          <w:tab w:pos="8271" w:val="right" w:leader="dot"/>
        </w:tabs>
        <w:spacing w:line="360" w:lineRule="auto" w:before="0" w:after="80"/>
        <w:ind w:left="1020" w:hanging="1020"/>
      </w:pPr>
      <w:r>
        <w:rPr>
          <w:rFonts w:ascii="Times New Roman" w:hAnsi="Times New Roman"/>
          <w:sz w:val="24"/>
        </w:rPr>
        <w:t>1</w:t>
        <w:tab/>
        <w:t>Representación cartográfica y ubicación espacial de la empresa</w:t>
        <w:tab/>
      </w:r>
      <w:r>
        <w:rPr>
          <w:rFonts w:ascii="Times New Roman" w:hAnsi="Times New Roman"/>
          <w:b w:val="0"/>
          <w:sz w:val="24"/>
        </w:rPr>
        <w:fldChar w:fldCharType="begin"/>
        <w:instrText xml:space="preserve"> PAGEREF bm_grafico1 \h </w:instrText>
        <w:fldChar w:fldCharType="separate"/>
        <w:t>?</w:t>
        <w:fldChar w:fldCharType="end"/>
      </w:r>
    </w:p>
    <w:p>
      <w:pPr>
        <w:tabs>
          <w:tab w:pos="1020" w:val="left"/>
          <w:tab w:pos="8271" w:val="right" w:leader="dot"/>
        </w:tabs>
        <w:spacing w:line="360" w:lineRule="auto" w:before="0" w:after="80"/>
        <w:ind w:left="1020" w:hanging="1020"/>
      </w:pPr>
      <w:r>
        <w:rPr>
          <w:rFonts w:ascii="Times New Roman" w:hAnsi="Times New Roman"/>
          <w:sz w:val="24"/>
        </w:rPr>
        <w:t>2</w:t>
        <w:tab/>
        <w:t>Organigrama estructural y niveles jerárquicos de la organización</w:t>
        <w:tab/>
      </w:r>
      <w:r>
        <w:rPr>
          <w:rFonts w:ascii="Times New Roman" w:hAnsi="Times New Roman"/>
          <w:b w:val="0"/>
          <w:sz w:val="24"/>
        </w:rPr>
        <w:fldChar w:fldCharType="begin"/>
        <w:instrText xml:space="preserve"> PAGEREF bm_grafico2 \h </w:instrText>
        <w:fldChar w:fldCharType="separate"/>
        <w:t>?</w:t>
        <w:fldChar w:fldCharType="end"/>
      </w:r>
    </w:p>
    <w:p>
      <w:pPr>
        <w:sectPr>
          <w:footerReference w:type="default" r:id="rId21"/>
          <w:type w:val="continuous"/>
          <w:pgSz w:w="12240" w:h="15840"/>
          <w:pgMar w:top="1701" w:right="1701" w:bottom="1701" w:left="2268" w:header="720" w:footer="720" w:gutter="0"/>
          <w:cols w:space="720"/>
          <w:titlePg/>
          <w:docGrid w:linePitch="360"/>
        </w:sectPr>
      </w:pPr>
    </w:p>
    <w:p>
      <w:bookmarkStart w:id="bm_lista_anexos" w:name="bm_lista_anexos"/>
      <w:pPr>
        <w:spacing w:after="480"/>
        <w:jc w:val="center"/>
      </w:pPr>
      <w:r>
        <w:rPr>
          <w:rFonts w:ascii="Times New Roman" w:hAnsi="Times New Roman"/>
          <w:b/>
          <w:sz w:val="24"/>
        </w:rPr>
        <w:t>LISTA DE ANEXOS</w:t>
      </w:r>
      <w:bookmarkEnd w:id="bm_lista_anexos"/>
    </w:p>
    <w:p>
      <w:pPr>
        <w:sectPr>
          <w:footerReference w:type="default" r:id="rId22"/>
          <w:pgSz w:w="12240" w:h="15840"/>
          <w:pgMar w:top="2835" w:right="1701" w:bottom="1701" w:left="2268" w:header="720" w:footer="720" w:gutter="0"/>
          <w:cols w:space="720"/>
          <w:titlePg/>
          <w:docGrid w:linePitch="360"/>
        </w:sectPr>
      </w:pPr>
    </w:p>
    <w:p>
      <w:pPr>
        <w:tabs>
          <w:tab w:pos="8271" w:val="right"/>
        </w:tabs>
        <w:spacing w:before="240" w:after="240"/>
      </w:pPr>
      <w:r>
        <w:rPr>
          <w:rFonts w:ascii="Times New Roman" w:hAnsi="Times New Roman"/>
          <w:b/>
          <w:sz w:val="24"/>
        </w:rPr>
        <w:t>ANEXOS</w:t>
      </w:r>
      <w:r>
        <w:tab/>
      </w:r>
      <w:r>
        <w:rPr>
          <w:rFonts w:ascii="Times New Roman" w:hAnsi="Times New Roman"/>
          <w:b/>
          <w:sz w:val="24"/>
        </w:rPr>
        <w:t>pp.</w:t>
      </w:r>
    </w:p>
    <w:p>
      <w:pPr>
        <w:tabs>
          <w:tab w:pos="1020" w:val="left"/>
          <w:tab w:pos="8271" w:val="right" w:leader="dot"/>
        </w:tabs>
        <w:spacing w:line="360" w:lineRule="auto" w:before="0" w:after="80"/>
        <w:ind w:left="1020" w:hanging="1020"/>
      </w:pPr>
      <w:r>
        <w:rPr>
          <w:rFonts w:ascii="Times New Roman" w:hAnsi="Times New Roman"/>
          <w:sz w:val="24"/>
        </w:rPr>
        <w:t>A</w:t>
        <w:tab/>
        <w:t>Aquí va la descripción del Anexo A</w:t>
        <w:tab/>
      </w:r>
      <w:r>
        <w:rPr>
          <w:rFonts w:ascii="Times New Roman" w:hAnsi="Times New Roman"/>
          <w:b w:val="0"/>
          <w:sz w:val="24"/>
        </w:rPr>
        <w:fldChar w:fldCharType="begin"/>
        <w:instrText xml:space="preserve"> PAGEREF bm_anexoA \h </w:instrText>
        <w:fldChar w:fldCharType="separate"/>
        <w:t>?</w:t>
        <w:fldChar w:fldCharType="end"/>
      </w:r>
    </w:p>
    <w:p>
      <w:pPr>
        <w:tabs>
          <w:tab w:pos="1020" w:val="left"/>
          <w:tab w:pos="8271" w:val="right" w:leader="dot"/>
        </w:tabs>
        <w:spacing w:line="360" w:lineRule="auto" w:before="0" w:after="80"/>
        <w:ind w:left="1020" w:hanging="1020"/>
      </w:pPr>
      <w:r>
        <w:rPr>
          <w:rFonts w:ascii="Times New Roman" w:hAnsi="Times New Roman"/>
          <w:sz w:val="24"/>
        </w:rPr>
        <w:t>B</w:t>
        <w:tab/>
        <w:t>Aquí va la descripción del Anexo B</w:t>
        <w:tab/>
      </w:r>
      <w:r>
        <w:rPr>
          <w:rFonts w:ascii="Times New Roman" w:hAnsi="Times New Roman"/>
          <w:b w:val="0"/>
          <w:sz w:val="24"/>
        </w:rPr>
        <w:fldChar w:fldCharType="begin"/>
        <w:instrText xml:space="preserve"> PAGEREF bm_anexoB \h </w:instrText>
        <w:fldChar w:fldCharType="separate"/>
        <w:t>?</w:t>
        <w:fldChar w:fldCharType="end"/>
      </w:r>
    </w:p>
    <w:p>
      <w:pPr>
        <w:tabs>
          <w:tab w:pos="1020" w:val="left"/>
          <w:tab w:pos="8271" w:val="right" w:leader="dot"/>
        </w:tabs>
        <w:spacing w:line="360" w:lineRule="auto" w:before="0" w:after="80"/>
        <w:ind w:left="1020" w:hanging="1020"/>
      </w:pPr>
      <w:r>
        <w:rPr>
          <w:rFonts w:ascii="Times New Roman" w:hAnsi="Times New Roman"/>
          <w:sz w:val="24"/>
        </w:rPr>
        <w:t>C</w:t>
        <w:tab/>
        <w:t>Aquí va la descripción del Anexo C</w:t>
        <w:tab/>
      </w:r>
      <w:r>
        <w:rPr>
          <w:rFonts w:ascii="Times New Roman" w:hAnsi="Times New Roman"/>
          <w:b w:val="0"/>
          <w:sz w:val="24"/>
        </w:rPr>
        <w:fldChar w:fldCharType="begin"/>
        <w:instrText xml:space="preserve"> PAGEREF bm_anexoC \h </w:instrText>
        <w:fldChar w:fldCharType="separate"/>
        <w:t>?</w:t>
        <w:fldChar w:fldCharType="end"/>
      </w:r>
    </w:p>
    <w:p>
      <w:pPr>
        <w:sectPr>
          <w:footerReference w:type="default" r:id="rId23"/>
          <w:type w:val="continuous"/>
          <w:pgSz w:w="12240" w:h="15840"/>
          <w:pgMar w:top="1701" w:right="1701" w:bottom="1701" w:left="2268" w:header="720" w:footer="720" w:gutter="0"/>
          <w:cols w:space="720"/>
          <w:titlePg/>
          <w:docGrid w:linePitch="360"/>
        </w:sectPr>
      </w:pPr>
    </w:p>
    <w:p>
      <w:bookmarkStart w:id="bm_resumen" w:name="bm_resumen"/>
      <w:pPr>
        <w:spacing w:after="480"/>
        <w:jc w:val="center"/>
      </w:pPr>
      <w:r>
        <w:rPr>
          <w:rFonts w:ascii="Times New Roman" w:hAnsi="Times New Roman"/>
          <w:b/>
          <w:sz w:val="24"/>
        </w:rPr>
        <w:t>RESUMEN</w:t>
      </w:r>
      <w:bookmarkEnd w:id="bm_resumen"/>
    </w:p>
    <w:p>
      <w:pPr>
        <w:sectPr>
          <w:footerReference w:type="default" r:id="rId24"/>
          <w:pgSz w:w="12240" w:h="15840"/>
          <w:pgMar w:top="2835" w:right="1701" w:bottom="1701" w:left="2268" w:header="720" w:footer="720" w:gutter="0"/>
          <w:cols w:space="720"/>
          <w:titlePg/>
          <w:docGrid w:linePitch="360"/>
        </w:sectPr>
      </w:pPr>
    </w:p>
    <w:p>
      <w:pPr>
        <w:spacing w:line="360" w:lineRule="auto" w:after="0" w:before="0"/>
        <w:ind w:firstLine="709"/>
        <w:jc w:val="both"/>
      </w:pPr>
      <w:r>
        <w:rPr>
          <w:rFonts w:ascii="Times New Roman" w:hAnsi="Times New Roman"/>
          <w:i w:val="0"/>
          <w:sz w:val="24"/>
        </w:rPr>
        <w:t>El presente informe describe la propuesta de optimización del proceso de procura en el departamento administrativo de Lubricantes y Equipos Varyna, C.A. La investigación se enmarca en la modalidad de proyecto factible apoyado en un diagnóstico de campo. Durante el estudio se identificó la ausencia de canales formalizados de recepción de requisiciones, tiempos de respuesta prolongados en las fases de cotización y aprobación, y la inexistencia de formatos estandarizados de control. La propuesta contempla un nuevo flujo de trabajo procedimental, plantillas estandarizadas de solicitud y orden de compra, y una matriz de autorización por monto, orientadas a fortalecer el control interno y agilizar el ciclo de adquisición de insumos y materiales.</w:t>
      </w:r>
    </w:p>
    <w:p/>
    <w:p>
      <w:pPr>
        <w:ind w:firstLine="709"/>
      </w:pPr>
      <w:r>
        <w:rPr>
          <w:b/>
        </w:rPr>
        <w:t xml:space="preserve">Palabras claves: </w:t>
      </w:r>
      <w:r>
        <w:t>procura, optimización, proceso administrativo, proyecto factible, pasantías.</w:t>
      </w:r>
    </w:p>
    <w:p>
      <w:pPr>
        <w:sectPr>
          <w:footerReference w:type="default" r:id="rId25"/>
          <w:type w:val="continuous"/>
          <w:pgSz w:w="12240" w:h="15840"/>
          <w:pgMar w:top="1701" w:right="1701" w:bottom="1701" w:left="2268" w:header="720" w:footer="720" w:gutter="0"/>
          <w:cols w:space="720"/>
          <w:titlePg/>
          <w:docGrid w:linePitch="360"/>
        </w:sectPr>
      </w:pPr>
    </w:p>
    <w:p>
      <w:bookmarkStart w:id="bm_introduccion" w:name="bm_introduccion"/>
      <w:pPr>
        <w:spacing w:after="480"/>
        <w:jc w:val="center"/>
      </w:pPr>
      <w:r>
        <w:rPr>
          <w:rFonts w:ascii="Times New Roman" w:hAnsi="Times New Roman"/>
          <w:b/>
          <w:sz w:val="24"/>
        </w:rPr>
        <w:t>INTRODUCCIÓN</w:t>
      </w:r>
      <w:bookmarkEnd w:id="bm_introduccion"/>
    </w:p>
    <w:p>
      <w:pPr>
        <w:sectPr>
          <w:footerReference w:type="default" r:id="rId26"/>
          <w:pgSz w:w="12240" w:h="15840"/>
          <w:pgMar w:top="2835" w:right="1701" w:bottom="1701" w:left="2268" w:header="720" w:footer="720" w:gutter="0"/>
          <w:cols w:space="720"/>
          <w:titlePg/>
          <w:docGrid w:linePitch="360"/>
        </w:sectPr>
      </w:pPr>
    </w:p>
    <w:p>
      <w:pPr>
        <w:spacing w:line="360" w:lineRule="auto" w:after="0" w:before="0"/>
        <w:ind w:firstLine="709"/>
        <w:jc w:val="both"/>
      </w:pPr>
      <w:r>
        <w:rPr>
          <w:rFonts w:ascii="Times New Roman" w:hAnsi="Times New Roman"/>
          <w:i w:val="0"/>
          <w:sz w:val="24"/>
        </w:rPr>
        <w:t>La presente pasantía, desarrollada como requisito para optar al título de Técnico Superior Universitario en Administración, tiene como propósito proponer mejoras procedimentales para optimizar el proceso de procura en el departamento administrativo de Lubricantes y Equipos Varyna, C.A. La investigación parte del diagnóstico de las deficiencias actuales en el ciclo de adquisición de insumos y materiales, identificando los factores que generan retrasos operativos y debilidades en el control interno del departamento. El informe se estructura en cinco capítulos: el Capítulo I presenta la realidad organizacional de la empresa; el Capítulo II desarrolla el diagnóstico situacional y la planificación del proyecto; el Capítulo III sustenta las bases teóricas que orientan la propuesta; el Capítulo IV describe las actividades ejecutadas durante las diez semanas de pasantía; y el Capítulo V presenta las conclusiones y recomendaciones derivadas del proceso investigativo.</w:t>
      </w:r>
    </w:p>
    <w:p>
      <w:pPr>
        <w:sectPr>
          <w:footerReference w:type="default" r:id="rId27"/>
          <w:type w:val="continuous"/>
          <w:pgSz w:w="12240" w:h="15840"/>
          <w:pgMar w:top="1701" w:right="1701" w:bottom="1701" w:left="2268" w:header="720" w:footer="720" w:gutter="0"/>
          <w:cols w:space="720"/>
          <w:titlePg/>
          <w:docGrid w:linePitch="360"/>
        </w:sectPr>
      </w:pPr>
    </w:p>
    <w:p>
      <w:pPr>
        <w:spacing w:after="480"/>
        <w:jc w:val="center"/>
      </w:pPr>
      <w:r>
        <w:rPr>
          <w:rFonts w:ascii="Times New Roman" w:hAnsi="Times New Roman"/>
          <w:b/>
          <w:sz w:val="24"/>
        </w:rPr>
        <w:t>CAPÍTULO I</w:t>
      </w:r>
    </w:p>
    <w:p>
      <w:bookmarkStart w:id="bm_cap1" w:name="bm_cap1"/>
      <w:pPr>
        <w:spacing w:before="480"/>
        <w:jc w:val="center"/>
      </w:pPr>
      <w:r>
        <w:rPr>
          <w:rFonts w:ascii="Times New Roman" w:hAnsi="Times New Roman"/>
          <w:b/>
          <w:sz w:val="24"/>
        </w:rPr>
        <w:t>REALIDAD ORGANIZACIONAL</w:t>
      </w:r>
      <w:bookmarkEnd w:id="bm_cap1"/>
    </w:p>
    <w:p>
      <w:pPr>
        <w:sectPr>
          <w:footerReference w:type="default" r:id="rId28"/>
          <w:pgSz w:w="12240" w:h="15840"/>
          <w:pgMar w:top="2835" w:right="1701" w:bottom="1701" w:left="2268" w:header="720" w:footer="720" w:gutter="0"/>
          <w:cols w:space="720"/>
          <w:titlePg/>
          <w:docGrid w:linePitch="360"/>
        </w:sectPr>
      </w:pPr>
    </w:p>
    <w:p>
      <w:bookmarkStart w:id="bm_cap1_ident" w:name="bm_cap1_ident"/>
      <w:pPr>
        <w:spacing w:before="480" w:after="480" w:line="360" w:lineRule="auto"/>
        <w:jc w:val="left"/>
      </w:pPr>
      <w:r>
        <w:rPr>
          <w:rFonts w:ascii="Times New Roman" w:hAnsi="Times New Roman"/>
          <w:b/>
          <w:sz w:val="24"/>
        </w:rPr>
        <w:t>IDENTIFICACIÓN DE LA EMPRESA</w:t>
      </w:r>
      <w:bookmarkEnd w:id="bm_cap1_ident"/>
    </w:p>
    <w:p>
      <w:pPr>
        <w:spacing w:line="360" w:lineRule="auto" w:after="0" w:before="0"/>
        <w:ind w:firstLine="709"/>
        <w:jc w:val="both"/>
      </w:pPr>
      <w:r>
        <w:rPr>
          <w:rFonts w:ascii="Times New Roman" w:hAnsi="Times New Roman"/>
          <w:i w:val="0"/>
          <w:sz w:val="24"/>
        </w:rPr>
        <w:t>La práctica profesional se desarrolla en Lubricantes y Equipos Varyna, C.A., empresa venezolana con más de treinta y seis (36) años de trayectoria en el sector petrolero, industrial y de construcción.Su actividad principal se enfoca en el procesamiento y suministro de productos químicos especializados, el tratamiento de crudo y la provisión de maquinaria pesada para operaciones industriales.</w:t>
      </w:r>
    </w:p>
    <w:p>
      <w:pPr>
        <w:spacing w:before="240" w:after="240" w:line="360" w:lineRule="auto"/>
        <w:ind w:firstLine="709"/>
        <w:jc w:val="left"/>
      </w:pPr>
      <w:r>
        <w:rPr>
          <w:rFonts w:ascii="Times New Roman" w:hAnsi="Times New Roman"/>
          <w:b/>
          <w:i/>
          <w:sz w:val="24"/>
        </w:rPr>
        <w:t>1.1.1 Razón social</w:t>
      </w:r>
    </w:p>
    <w:p>
      <w:pPr>
        <w:spacing w:line="360" w:lineRule="auto" w:after="0" w:before="0"/>
        <w:ind w:firstLine="0"/>
        <w:jc w:val="both"/>
      </w:pPr>
      <w:r>
        <w:rPr>
          <w:rFonts w:ascii="Times New Roman" w:hAnsi="Times New Roman"/>
          <w:i w:val="0"/>
          <w:sz w:val="24"/>
        </w:rPr>
        <w:t>Lubricantes y Equipos Varyna, C.A.</w:t>
      </w:r>
    </w:p>
    <w:p>
      <w:bookmarkStart w:id="bm_cap1_resena" w:name="bm_cap1_resena"/>
      <w:pPr>
        <w:spacing w:before="240" w:after="240" w:line="360" w:lineRule="auto"/>
        <w:ind w:firstLine="709"/>
        <w:jc w:val="left"/>
      </w:pPr>
      <w:r>
        <w:rPr>
          <w:rFonts w:ascii="Times New Roman" w:hAnsi="Times New Roman"/>
          <w:b/>
          <w:i/>
          <w:sz w:val="24"/>
        </w:rPr>
        <w:t>1.1.2 Reseña histórica</w:t>
      </w:r>
      <w:bookmarkEnd w:id="bm_cap1_resena"/>
    </w:p>
    <w:p>
      <w:pPr>
        <w:spacing w:line="360" w:lineRule="auto" w:after="0" w:before="0"/>
        <w:ind w:firstLine="709"/>
        <w:jc w:val="both"/>
      </w:pPr>
      <w:r>
        <w:rPr>
          <w:rFonts w:ascii="Times New Roman" w:hAnsi="Times New Roman"/>
          <w:i w:val="0"/>
          <w:sz w:val="24"/>
        </w:rPr>
        <w:t>Lubricantes y Equipos Varyná C.A. es una empresa venezolana con más de treinta y seis (36) años de trayectoria en el sector petrolero, industrial y de construcción, consolidándose como una organización de amplia experiencia y reconocimiento dentro del mercado nacional. Desde sus inicios, la empresa ha orientado sus esfuerzos al desarrollo de soluciones integrales que contribuyan al fortalecimiento de las actividades productivas del país.</w:t>
      </w:r>
    </w:p>
    <w:p>
      <w:pPr>
        <w:spacing w:line="360" w:lineRule="auto" w:after="0" w:before="0"/>
        <w:ind w:firstLine="709"/>
        <w:jc w:val="both"/>
      </w:pPr>
      <w:r>
        <w:rPr>
          <w:rFonts w:ascii="Times New Roman" w:hAnsi="Times New Roman"/>
          <w:i w:val="0"/>
          <w:sz w:val="24"/>
        </w:rPr>
        <w:t>Como empresa integrante del Grupo Corporativo VTC, ha profesionalizado un crecimiento sostenido basado en la innovación, la calidad de sus servicios y el compromiso con sus clientes. Su actividad principal se enfoca en el procesamiento y suministro de productos químicos especializados, el tratamiento de crudo y la provisión de maquinaria pesada para operaciones industriales.</w:t>
      </w:r>
    </w:p>
    <w:p>
      <w:bookmarkStart w:id="bm_cap1_mision" w:name="bm_cap1_mision"/>
      <w:pPr>
        <w:spacing w:before="240" w:after="240" w:line="360" w:lineRule="auto"/>
        <w:ind w:firstLine="709"/>
        <w:jc w:val="left"/>
      </w:pPr>
      <w:r>
        <w:rPr>
          <w:rFonts w:ascii="Times New Roman" w:hAnsi="Times New Roman"/>
          <w:b/>
          <w:i/>
          <w:sz w:val="24"/>
        </w:rPr>
        <w:t>1.1.3 Misión</w:t>
      </w:r>
      <w:bookmarkEnd w:id="bm_cap1_mision"/>
    </w:p>
    <w:p>
      <w:pPr>
        <w:spacing w:line="360" w:lineRule="auto" w:after="0" w:before="0"/>
        <w:ind w:firstLine="709"/>
        <w:jc w:val="both"/>
      </w:pPr>
      <w:r>
        <w:rPr>
          <w:rFonts w:ascii="Times New Roman" w:hAnsi="Times New Roman"/>
          <w:i/>
          <w:sz w:val="24"/>
        </w:rPr>
        <w:t>Brindar a nuestros clientes objetivos, soluciones de calidad en las áreas en las cuales nos desempeñamos, para contribuir de manera significativa en sus resultados. Aportando valor con nuestras respuestas a sus requerimientos. En la búsqueda de un mejor país y de una mejor humanidad.</w:t>
      </w:r>
    </w:p>
    <w:p>
      <w:bookmarkStart w:id="bm_cap1_vision" w:name="bm_cap1_vision"/>
      <w:pPr>
        <w:spacing w:before="240" w:after="240" w:line="360" w:lineRule="auto"/>
        <w:ind w:firstLine="709"/>
        <w:jc w:val="left"/>
      </w:pPr>
      <w:r>
        <w:rPr>
          <w:rFonts w:ascii="Times New Roman" w:hAnsi="Times New Roman"/>
          <w:b/>
          <w:i/>
          <w:sz w:val="24"/>
        </w:rPr>
        <w:t>1.1.4 Visión</w:t>
      </w:r>
      <w:bookmarkEnd w:id="bm_cap1_vision"/>
    </w:p>
    <w:p>
      <w:pPr>
        <w:spacing w:line="360" w:lineRule="auto" w:after="0" w:before="0"/>
        <w:ind w:firstLine="709"/>
        <w:jc w:val="both"/>
      </w:pPr>
      <w:r>
        <w:rPr>
          <w:rFonts w:ascii="Times New Roman" w:hAnsi="Times New Roman"/>
          <w:i/>
          <w:sz w:val="24"/>
        </w:rPr>
        <w:t>Ser el conglomerado de empresas líderes en cada una de las categorías en las que participamos, generando modelos de negocios altamente competitivos, atendiendo a nuestros distintos beneficiarios con productos y servicios de calidad.</w:t>
      </w:r>
    </w:p>
    <w:p>
      <w:bookmarkStart w:id="bm_cap1_valores" w:name="bm_cap1_valores"/>
      <w:pPr>
        <w:spacing w:before="240" w:after="240" w:line="360" w:lineRule="auto"/>
        <w:ind w:firstLine="709"/>
        <w:jc w:val="left"/>
      </w:pPr>
      <w:r>
        <w:rPr>
          <w:rFonts w:ascii="Times New Roman" w:hAnsi="Times New Roman"/>
          <w:b/>
          <w:i/>
          <w:sz w:val="24"/>
        </w:rPr>
        <w:t>1.1.5 Valores</w:t>
      </w:r>
      <w:bookmarkEnd w:id="bm_cap1_valores"/>
    </w:p>
    <w:p>
      <w:pPr>
        <w:spacing w:line="360" w:lineRule="auto" w:after="0" w:before="0"/>
        <w:ind w:firstLine="709"/>
        <w:jc w:val="both"/>
      </w:pPr>
      <w:r>
        <w:rPr>
          <w:rFonts w:ascii="Times New Roman" w:hAnsi="Times New Roman"/>
          <w:i w:val="0"/>
          <w:sz w:val="24"/>
        </w:rPr>
        <w:t>Los valores que orientan las actividades de la organización destacan:</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Planificación: </w:t>
      </w:r>
      <w:r>
        <w:rPr>
          <w:rFonts w:ascii="Times New Roman" w:hAnsi="Times New Roman"/>
          <w:sz w:val="24"/>
        </w:rPr>
        <w:t>Estructuración anticipada de las adquisiciones para optimizar los recursos financieros de la organización.</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Responsabilidad: </w:t>
      </w:r>
      <w:r>
        <w:rPr>
          <w:rFonts w:ascii="Times New Roman" w:hAnsi="Times New Roman"/>
          <w:sz w:val="24"/>
        </w:rPr>
        <w:t>Cumplimiento eficiente de los compromisos adquiridos con clientes, proveedores y trabajadores.</w:t>
      </w:r>
    </w:p>
    <w:p>
      <w:pPr>
        <w:spacing w:line="360" w:lineRule="auto"/>
        <w:ind w:firstLine="709"/>
        <w:jc w:val="both"/>
      </w:pPr>
      <w:r>
        <w:rPr>
          <w:rFonts w:ascii="Times New Roman" w:hAnsi="Times New Roman"/>
          <w:sz w:val="24"/>
        </w:rPr>
        <w:t xml:space="preserve">3. </w:t>
      </w:r>
      <w:r>
        <w:rPr>
          <w:rFonts w:ascii="Times New Roman" w:hAnsi="Times New Roman"/>
          <w:b/>
          <w:sz w:val="24"/>
        </w:rPr>
        <w:t xml:space="preserve">Integridad: </w:t>
      </w:r>
      <w:r>
        <w:rPr>
          <w:rFonts w:ascii="Times New Roman" w:hAnsi="Times New Roman"/>
          <w:sz w:val="24"/>
        </w:rPr>
        <w:t>Actuar con honestidad, ética y transparencia en todas las operaciones de la empresa.</w:t>
      </w:r>
    </w:p>
    <w:p>
      <w:pPr>
        <w:spacing w:line="360" w:lineRule="auto"/>
        <w:ind w:firstLine="709"/>
        <w:jc w:val="both"/>
      </w:pPr>
      <w:r>
        <w:rPr>
          <w:rFonts w:ascii="Times New Roman" w:hAnsi="Times New Roman"/>
          <w:sz w:val="24"/>
        </w:rPr>
        <w:t xml:space="preserve">4. </w:t>
      </w:r>
      <w:r>
        <w:rPr>
          <w:rFonts w:ascii="Times New Roman" w:hAnsi="Times New Roman"/>
          <w:b/>
          <w:sz w:val="24"/>
        </w:rPr>
        <w:t xml:space="preserve">Transparencia: </w:t>
      </w:r>
      <w:r>
        <w:rPr>
          <w:rFonts w:ascii="Times New Roman" w:hAnsi="Times New Roman"/>
          <w:sz w:val="24"/>
        </w:rPr>
        <w:t>Garantizar la trazabilidad y la claridad en los procesos de selección y adjudicación de compras.</w:t>
      </w:r>
    </w:p>
    <w:p>
      <w:bookmarkStart w:id="bm_cap1_obj" w:name="bm_cap1_obj"/>
      <w:pPr>
        <w:spacing w:before="240" w:after="240" w:line="360" w:lineRule="auto"/>
        <w:ind w:firstLine="709"/>
        <w:jc w:val="left"/>
      </w:pPr>
      <w:r>
        <w:rPr>
          <w:rFonts w:ascii="Times New Roman" w:hAnsi="Times New Roman"/>
          <w:b/>
          <w:i/>
          <w:sz w:val="24"/>
        </w:rPr>
        <w:t>1.1.6 Objetivos Organizacionales</w:t>
      </w:r>
      <w:bookmarkEnd w:id="bm_cap1_obj"/>
    </w:p>
    <w:p>
      <w:pPr>
        <w:spacing w:line="360" w:lineRule="auto" w:after="0" w:before="0"/>
        <w:ind w:firstLine="709"/>
        <w:jc w:val="both"/>
      </w:pPr>
      <w:r>
        <w:rPr>
          <w:rFonts w:ascii="Times New Roman" w:hAnsi="Times New Roman"/>
          <w:i w:val="0"/>
          <w:sz w:val="24"/>
        </w:rPr>
        <w:t>Entre sus objetivos organizacionales se encuentran:</w:t>
      </w:r>
    </w:p>
    <w:p>
      <w:pPr>
        <w:spacing w:line="360" w:lineRule="auto"/>
        <w:ind w:firstLine="709"/>
        <w:jc w:val="both"/>
      </w:pPr>
      <w:r>
        <w:rPr>
          <w:rFonts w:ascii="Times New Roman" w:hAnsi="Times New Roman"/>
          <w:sz w:val="24"/>
        </w:rPr>
        <w:t xml:space="preserve">1. </w:t>
      </w:r>
      <w:r>
        <w:rPr>
          <w:rFonts w:ascii="Times New Roman" w:hAnsi="Times New Roman"/>
          <w:sz w:val="24"/>
        </w:rPr>
        <w:t>Proporcionar soluciones eficientes y oportunas a las necesidades de sus clientes.</w:t>
      </w:r>
    </w:p>
    <w:p>
      <w:pPr>
        <w:spacing w:line="360" w:lineRule="auto"/>
        <w:ind w:firstLine="709"/>
        <w:jc w:val="both"/>
      </w:pPr>
      <w:r>
        <w:rPr>
          <w:rFonts w:ascii="Times New Roman" w:hAnsi="Times New Roman"/>
          <w:sz w:val="24"/>
        </w:rPr>
        <w:t xml:space="preserve">2. </w:t>
      </w:r>
      <w:r>
        <w:rPr>
          <w:rFonts w:ascii="Times New Roman" w:hAnsi="Times New Roman"/>
          <w:sz w:val="24"/>
        </w:rPr>
        <w:t>Mantener altos estándares de calidad en los productos y servicios ofrecidos.</w:t>
      </w:r>
    </w:p>
    <w:p>
      <w:pPr>
        <w:spacing w:line="360" w:lineRule="auto"/>
        <w:ind w:firstLine="709"/>
        <w:jc w:val="both"/>
      </w:pPr>
      <w:r>
        <w:rPr>
          <w:rFonts w:ascii="Times New Roman" w:hAnsi="Times New Roman"/>
          <w:sz w:val="24"/>
        </w:rPr>
        <w:t xml:space="preserve">3. </w:t>
      </w:r>
      <w:r>
        <w:rPr>
          <w:rFonts w:ascii="Times New Roman" w:hAnsi="Times New Roman"/>
          <w:sz w:val="24"/>
        </w:rPr>
        <w:t>Asegurar el abastecimiento continuo y eficiente de insumos mediante una gestión administrativa transparente.</w:t>
      </w:r>
    </w:p>
    <w:p>
      <w:bookmarkStart w:id="bm_cap1_ubic" w:name="bm_cap1_ubic"/>
      <w:pPr>
        <w:spacing w:before="240" w:after="240" w:line="360" w:lineRule="auto"/>
        <w:ind w:firstLine="709"/>
        <w:jc w:val="left"/>
      </w:pPr>
      <w:r>
        <w:rPr>
          <w:rFonts w:ascii="Times New Roman" w:hAnsi="Times New Roman"/>
          <w:b/>
          <w:i/>
          <w:sz w:val="24"/>
        </w:rPr>
        <w:t>1.1.7 Ubicación geográfica</w:t>
      </w:r>
      <w:bookmarkEnd w:id="bm_cap1_ubic"/>
    </w:p>
    <w:p>
      <w:pPr>
        <w:spacing w:line="360" w:lineRule="auto" w:after="0" w:before="0"/>
        <w:ind w:firstLine="0"/>
        <w:jc w:val="both"/>
      </w:pPr>
      <w:r>
        <w:rPr>
          <w:rFonts w:ascii="Times New Roman" w:hAnsi="Times New Roman"/>
          <w:i w:val="0"/>
          <w:sz w:val="24"/>
        </w:rPr>
        <w:t>Calle 23 de enero entre calle principal el palomar y calle la paz sector vista al sol, San José de Guanipa Edo. Anzoátegui.</w:t>
      </w:r>
    </w:p>
    <w:p>
      <w:pPr>
        <w:spacing w:before="480"/>
        <w:jc w:val="center"/>
      </w:pPr>
      <w:r>
        <w:drawing>
          <wp:inline xmlns:a="http://schemas.openxmlformats.org/drawingml/2006/main" xmlns:pic="http://schemas.openxmlformats.org/drawingml/2006/picture">
            <wp:extent cx="1800000" cy="1315385"/>
            <wp:docPr id="2" name="Picture 2"/>
            <wp:cNvGraphicFramePr>
              <a:graphicFrameLocks noChangeAspect="1"/>
            </wp:cNvGraphicFramePr>
            <a:graphic>
              <a:graphicData uri="http://schemas.openxmlformats.org/drawingml/2006/picture">
                <pic:pic>
                  <pic:nvPicPr>
                    <pic:cNvPr id="0" name="1.png"/>
                    <pic:cNvPicPr/>
                  </pic:nvPicPr>
                  <pic:blipFill>
                    <a:blip r:embed="rId10"/>
                    <a:stretch>
                      <a:fillRect/>
                    </a:stretch>
                  </pic:blipFill>
                  <pic:spPr>
                    <a:xfrm>
                      <a:off x="0" y="0"/>
                      <a:ext cx="1800000" cy="1315385"/>
                    </a:xfrm>
                    <a:prstGeom prst="rect"/>
                  </pic:spPr>
                </pic:pic>
              </a:graphicData>
            </a:graphic>
          </wp:inline>
        </w:drawing>
      </w:r>
    </w:p>
    <w:p>
      <w:bookmarkStart w:id="bm_grafico1" w:name="bm_grafico1"/>
      <w:pPr>
        <w:spacing w:before="120" w:after="480"/>
        <w:jc w:val="center"/>
      </w:pPr>
      <w:r>
        <w:rPr>
          <w:rFonts w:ascii="Times New Roman" w:hAnsi="Times New Roman"/>
          <w:i/>
          <w:sz w:val="24"/>
        </w:rPr>
        <w:t xml:space="preserve">Gráfico 1. </w:t>
      </w:r>
      <w:r>
        <w:rPr>
          <w:rFonts w:ascii="Times New Roman" w:hAnsi="Times New Roman"/>
          <w:b/>
          <w:sz w:val="24"/>
        </w:rPr>
        <w:t>Representación cartográfica y ubicación espacial de la empresa.</w:t>
      </w:r>
      <w:bookmarkEnd w:id="bm_grafico1"/>
    </w:p>
    <w:p>
      <w:bookmarkStart w:id="bm_cap1_pobla" w:name="bm_cap1_pobla"/>
      <w:pPr>
        <w:spacing w:before="240" w:after="240" w:line="360" w:lineRule="auto"/>
        <w:ind w:firstLine="709"/>
        <w:jc w:val="left"/>
      </w:pPr>
      <w:r>
        <w:rPr>
          <w:rFonts w:ascii="Times New Roman" w:hAnsi="Times New Roman"/>
          <w:b/>
          <w:i/>
          <w:sz w:val="24"/>
        </w:rPr>
        <w:t>1.1.8 Población de los trabajadores de la empresa</w:t>
      </w:r>
      <w:bookmarkEnd w:id="bm_cap1_pobla"/>
    </w:p>
    <w:p>
      <w:pPr>
        <w:spacing w:line="360" w:lineRule="auto" w:after="0" w:before="0"/>
        <w:ind w:firstLine="709"/>
        <w:jc w:val="both"/>
      </w:pPr>
      <w:r>
        <w:rPr>
          <w:rFonts w:ascii="Times New Roman" w:hAnsi="Times New Roman"/>
          <w:i w:val="0"/>
          <w:sz w:val="24"/>
        </w:rPr>
        <w:t>La población de trabajadores de Lubricantes y Equipos Varyná C.A. está conformada por personal administrativo, técnico y operativo. Toda la empresa trabaja de manera coordinada para garantizar la calidad de los servicios prestados, recayendo sobre el área de procura administrativa la responsabilidad de asegurar la disponibilidad oportuna de materiales y repuestos para la continuidad operativa.</w:t>
      </w:r>
    </w:p>
    <w:p>
      <w:bookmarkStart w:id="bm_cap1_estruct" w:name="bm_cap1_estruct"/>
      <w:pPr>
        <w:spacing w:before="240" w:after="240" w:line="360" w:lineRule="auto"/>
        <w:ind w:firstLine="709"/>
        <w:jc w:val="left"/>
      </w:pPr>
      <w:r>
        <w:rPr>
          <w:rFonts w:ascii="Times New Roman" w:hAnsi="Times New Roman"/>
          <w:b/>
          <w:i/>
          <w:sz w:val="24"/>
        </w:rPr>
        <w:t>1.1.9 Estructura Organizativa</w:t>
      </w:r>
      <w:bookmarkEnd w:id="bm_cap1_estruct"/>
    </w:p>
    <w:p>
      <w:pPr>
        <w:spacing w:line="360" w:lineRule="auto" w:after="0" w:before="0"/>
        <w:ind w:firstLine="709"/>
        <w:jc w:val="both"/>
      </w:pPr>
      <w:r>
        <w:rPr>
          <w:rFonts w:ascii="Times New Roman" w:hAnsi="Times New Roman"/>
          <w:i w:val="0"/>
          <w:sz w:val="24"/>
        </w:rPr>
        <w:t>A continuación, se presenta la estructura organizativa de la empresa, reflejando las líneas de mando y la distribución de los departamentos administrativos y de procura:</w:t>
      </w:r>
    </w:p>
    <w:p>
      <w:pPr>
        <w:spacing w:before="480"/>
        <w:jc w:val="center"/>
      </w:pPr>
      <w:r>
        <w:drawing>
          <wp:inline xmlns:a="http://schemas.openxmlformats.org/drawingml/2006/main" xmlns:pic="http://schemas.openxmlformats.org/drawingml/2006/picture">
            <wp:extent cx="4320000" cy="2603179"/>
            <wp:docPr id="3" name="Picture 3"/>
            <wp:cNvGraphicFramePr>
              <a:graphicFrameLocks noChangeAspect="1"/>
            </wp:cNvGraphicFramePr>
            <a:graphic>
              <a:graphicData uri="http://schemas.openxmlformats.org/drawingml/2006/picture">
                <pic:pic>
                  <pic:nvPicPr>
                    <pic:cNvPr id="0" name="2.png"/>
                    <pic:cNvPicPr/>
                  </pic:nvPicPr>
                  <pic:blipFill>
                    <a:blip r:embed="rId11"/>
                    <a:stretch>
                      <a:fillRect/>
                    </a:stretch>
                  </pic:blipFill>
                  <pic:spPr>
                    <a:xfrm>
                      <a:off x="0" y="0"/>
                      <a:ext cx="4320000" cy="2603179"/>
                    </a:xfrm>
                    <a:prstGeom prst="rect"/>
                  </pic:spPr>
                </pic:pic>
              </a:graphicData>
            </a:graphic>
          </wp:inline>
        </w:drawing>
      </w:r>
    </w:p>
    <w:p>
      <w:bookmarkStart w:id="bm_grafico2" w:name="bm_grafico2"/>
      <w:pPr>
        <w:spacing w:before="120" w:after="480"/>
        <w:jc w:val="center"/>
      </w:pPr>
      <w:r>
        <w:rPr>
          <w:rFonts w:ascii="Times New Roman" w:hAnsi="Times New Roman"/>
          <w:i/>
          <w:sz w:val="24"/>
        </w:rPr>
        <w:t xml:space="preserve">Gráfico 2. </w:t>
      </w:r>
      <w:r>
        <w:rPr>
          <w:rFonts w:ascii="Times New Roman" w:hAnsi="Times New Roman"/>
          <w:b/>
          <w:sz w:val="24"/>
        </w:rPr>
        <w:t>Organigrama estructural y niveles jerárquicos de la organización.</w:t>
      </w:r>
      <w:bookmarkEnd w:id="bm_grafico2"/>
    </w:p>
    <w:p>
      <w:pPr>
        <w:sectPr>
          <w:footerReference w:type="default" r:id="rId29"/>
          <w:type w:val="continuous"/>
          <w:pgSz w:w="12240" w:h="15840"/>
          <w:pgMar w:top="1701" w:right="1701" w:bottom="1701" w:left="2268" w:header="720" w:footer="720" w:gutter="0"/>
          <w:cols w:space="720"/>
          <w:titlePg/>
          <w:docGrid w:linePitch="360"/>
        </w:sectPr>
      </w:pPr>
    </w:p>
    <w:p>
      <w:pPr>
        <w:spacing w:after="480"/>
        <w:jc w:val="center"/>
      </w:pPr>
      <w:r>
        <w:rPr>
          <w:rFonts w:ascii="Times New Roman" w:hAnsi="Times New Roman"/>
          <w:b/>
          <w:sz w:val="24"/>
        </w:rPr>
        <w:t>CAPÍTULO II</w:t>
      </w:r>
    </w:p>
    <w:p>
      <w:bookmarkStart w:id="bm_cap2" w:name="bm_cap2"/>
      <w:pPr>
        <w:spacing w:before="480"/>
        <w:jc w:val="center"/>
      </w:pPr>
      <w:r>
        <w:rPr>
          <w:rFonts w:ascii="Times New Roman" w:hAnsi="Times New Roman"/>
          <w:b/>
          <w:sz w:val="24"/>
        </w:rPr>
        <w:t>DIAGNÓSTICO SITUACIONAL</w:t>
      </w:r>
      <w:bookmarkEnd w:id="bm_cap2"/>
    </w:p>
    <w:p>
      <w:pPr>
        <w:sectPr>
          <w:footerReference w:type="default" r:id="rId30"/>
          <w:pgSz w:w="12240" w:h="15840"/>
          <w:pgMar w:top="2835" w:right="1701" w:bottom="1701" w:left="2268" w:header="720" w:footer="720" w:gutter="0"/>
          <w:cols w:space="720"/>
          <w:titlePg/>
          <w:docGrid w:linePitch="360"/>
        </w:sectPr>
      </w:pPr>
    </w:p>
    <w:p>
      <w:bookmarkStart w:id="bm_cap2_sit" w:name="bm_cap2_sit"/>
      <w:pPr>
        <w:spacing w:before="480" w:after="480" w:line="360" w:lineRule="auto"/>
        <w:jc w:val="left"/>
      </w:pPr>
      <w:r>
        <w:rPr>
          <w:rFonts w:ascii="Times New Roman" w:hAnsi="Times New Roman"/>
          <w:b/>
          <w:sz w:val="24"/>
        </w:rPr>
        <w:t>Identificación de la Situación Problemática</w:t>
      </w:r>
      <w:bookmarkEnd w:id="bm_cap2_sit"/>
    </w:p>
    <w:p>
      <w:pPr>
        <w:spacing w:line="360" w:lineRule="auto" w:after="0" w:before="0"/>
        <w:ind w:firstLine="709"/>
        <w:jc w:val="both"/>
      </w:pPr>
      <w:r>
        <w:rPr>
          <w:rFonts w:ascii="Times New Roman" w:hAnsi="Times New Roman"/>
          <w:i w:val="0"/>
          <w:sz w:val="24"/>
        </w:rPr>
        <w:t>En el departamento administrativo de Lubricantes y Equipos Varyna, C.A., se ha identificado una situación desfavorable relacionada con el control y flujo procedimental de la procura. En la actualidad, las solicitudes de compras de materiales e insumos críticos presentan marcados retrasos debido a la ausencia de un canal formalizado de recepción, lo que ocasiona que las requisiciones no sigan una ruta clara de procesamiento.</w:t>
      </w:r>
    </w:p>
    <w:p>
      <w:pPr>
        <w:spacing w:line="360" w:lineRule="auto" w:after="0" w:before="0"/>
        <w:ind w:firstLine="709"/>
        <w:jc w:val="both"/>
      </w:pPr>
      <w:r>
        <w:rPr>
          <w:rFonts w:ascii="Times New Roman" w:hAnsi="Times New Roman"/>
          <w:i w:val="0"/>
          <w:sz w:val="24"/>
        </w:rPr>
        <w:t>Esta falta de estandarización administrativa genera cuellos de botella en las instancias de aprobación, pérdida de trazabilidad en el seguimiento de las cotizaciones y tiempos prolongados para la adquisición definitiva de los insumos. Como consecuencia directa, se producen retrasos logísticos en las obras operativas y una sobrecarga de funciones correctivas en el personal de compras, haciendo necesaria una propuesta de optimización procedimental adaptada a los estándares organizacionales vigentes.</w:t>
      </w:r>
    </w:p>
    <w:p>
      <w:bookmarkStart w:id="bm_cap2_objg" w:name="bm_cap2_objg"/>
      <w:pPr>
        <w:spacing w:before="480" w:after="480" w:line="360" w:lineRule="auto"/>
        <w:jc w:val="left"/>
      </w:pPr>
      <w:r>
        <w:rPr>
          <w:rFonts w:ascii="Times New Roman" w:hAnsi="Times New Roman"/>
          <w:b/>
          <w:sz w:val="24"/>
        </w:rPr>
        <w:t>Objetivo General</w:t>
      </w:r>
      <w:bookmarkEnd w:id="bm_cap2_objg"/>
    </w:p>
    <w:p>
      <w:pPr>
        <w:spacing w:line="360" w:lineRule="auto" w:after="0" w:before="0"/>
        <w:ind w:firstLine="709"/>
        <w:jc w:val="both"/>
      </w:pPr>
      <w:r>
        <w:rPr>
          <w:rFonts w:ascii="Times New Roman" w:hAnsi="Times New Roman"/>
          <w:i w:val="0"/>
          <w:sz w:val="24"/>
        </w:rPr>
        <w:t>Proponer mejoras procedimentales para optimizar el proceso de procura en el departamento administrativo de Lubricantes y Equipos Varyna, C.A., con la finalidad de agilizar los tiempos de adquisición y fortalecer el control interno de las operaciones de compras.</w:t>
      </w:r>
    </w:p>
    <w:p>
      <w:bookmarkStart w:id="bm_cap2_obje" w:name="bm_cap2_obje"/>
      <w:pPr>
        <w:spacing w:before="480" w:after="480" w:line="360" w:lineRule="auto"/>
        <w:jc w:val="left"/>
      </w:pPr>
      <w:r>
        <w:rPr>
          <w:rFonts w:ascii="Times New Roman" w:hAnsi="Times New Roman"/>
          <w:b/>
          <w:sz w:val="24"/>
        </w:rPr>
        <w:t>Objetivos Específicos</w:t>
      </w:r>
      <w:bookmarkEnd w:id="bm_cap2_obje"/>
    </w:p>
    <w:p>
      <w:pPr>
        <w:spacing w:line="360" w:lineRule="auto"/>
        <w:ind w:firstLine="709"/>
        <w:jc w:val="both"/>
      </w:pPr>
      <w:r>
        <w:rPr>
          <w:rFonts w:ascii="Times New Roman" w:hAnsi="Times New Roman"/>
          <w:sz w:val="24"/>
        </w:rPr>
        <w:t xml:space="preserve">1. </w:t>
      </w:r>
      <w:r>
        <w:rPr>
          <w:rFonts w:ascii="Times New Roman" w:hAnsi="Times New Roman"/>
          <w:sz w:val="24"/>
        </w:rPr>
        <w:t>Diagnosticar el proceso actual de procura en el departamento administrativo de la empresa para identificar el flujo secuencial de las solicitudes de compra.</w:t>
      </w:r>
    </w:p>
    <w:p>
      <w:pPr>
        <w:spacing w:line="360" w:lineRule="auto"/>
        <w:ind w:firstLine="709"/>
        <w:jc w:val="both"/>
      </w:pPr>
      <w:r>
        <w:rPr>
          <w:rFonts w:ascii="Times New Roman" w:hAnsi="Times New Roman"/>
          <w:sz w:val="24"/>
        </w:rPr>
        <w:t xml:space="preserve">2. </w:t>
      </w:r>
      <w:r>
        <w:rPr>
          <w:rFonts w:ascii="Times New Roman" w:hAnsi="Times New Roman"/>
          <w:sz w:val="24"/>
        </w:rPr>
        <w:t>Identificar las debilidades y cuellos de botella presentes en las fases de seguimiento, cotización y aprobación de las adquisiciones.</w:t>
      </w:r>
    </w:p>
    <w:p>
      <w:pPr>
        <w:spacing w:line="360" w:lineRule="auto"/>
        <w:ind w:firstLine="709"/>
        <w:jc w:val="both"/>
      </w:pPr>
      <w:r>
        <w:rPr>
          <w:rFonts w:ascii="Times New Roman" w:hAnsi="Times New Roman"/>
          <w:sz w:val="24"/>
        </w:rPr>
        <w:t xml:space="preserve">3. </w:t>
      </w:r>
      <w:r>
        <w:rPr>
          <w:rFonts w:ascii="Times New Roman" w:hAnsi="Times New Roman"/>
          <w:sz w:val="24"/>
        </w:rPr>
        <w:t>Analizar las causas organizativas que generan retrasos y tiempos prolongados en el ciclo de adquisición de insumos y materiales.</w:t>
      </w:r>
    </w:p>
    <w:p>
      <w:pPr>
        <w:spacing w:line="360" w:lineRule="auto"/>
        <w:ind w:firstLine="709"/>
        <w:jc w:val="both"/>
      </w:pPr>
      <w:r>
        <w:rPr>
          <w:rFonts w:ascii="Times New Roman" w:hAnsi="Times New Roman"/>
          <w:sz w:val="24"/>
        </w:rPr>
        <w:t xml:space="preserve">4. </w:t>
      </w:r>
      <w:r>
        <w:rPr>
          <w:rFonts w:ascii="Times New Roman" w:hAnsi="Times New Roman"/>
          <w:sz w:val="24"/>
        </w:rPr>
        <w:t>Diseñar una propuesta de mejora procedimental que agilice los tiempos de respuesta y optimice el control de la procura en el área administrativa.</w:t>
      </w:r>
    </w:p>
    <w:p>
      <w:bookmarkStart w:id="bm_cap2_planif" w:name="bm_cap2_planif"/>
      <w:pPr>
        <w:spacing w:before="480" w:after="480" w:line="360" w:lineRule="auto"/>
        <w:jc w:val="left"/>
      </w:pPr>
      <w:r>
        <w:rPr>
          <w:rFonts w:ascii="Times New Roman" w:hAnsi="Times New Roman"/>
          <w:b/>
          <w:sz w:val="24"/>
        </w:rPr>
        <w:t>Planificación integral de objetivos</w:t>
      </w:r>
      <w:bookmarkEnd w:id="bm_cap2_planif"/>
    </w:p>
    <w:p>
      <w:pPr>
        <w:spacing w:line="360" w:lineRule="auto" w:after="0" w:before="0"/>
        <w:ind w:firstLine="709"/>
        <w:jc w:val="both"/>
      </w:pPr>
      <w:r>
        <w:rPr>
          <w:rFonts w:ascii="Times New Roman" w:hAnsi="Times New Roman"/>
          <w:i w:val="0"/>
          <w:sz w:val="24"/>
        </w:rPr>
        <w:t>La planificación establece la relación entre cada objetivo específico y las actividades técnicas a ejecutar para el desarrollo de la propuesta de optimización:</w:t>
      </w:r>
    </w:p>
    <w:p>
      <w:bookmarkStart w:id="bm_cuadro1" w:name="bm_cuadro1"/>
      <w:pPr>
        <w:spacing w:before="480" w:after="240" w:line="360" w:lineRule="auto"/>
        <w:jc w:val="left"/>
      </w:pPr>
      <w:r>
        <w:rPr>
          <w:rFonts w:ascii="Times New Roman" w:hAnsi="Times New Roman"/>
          <w:b/>
          <w:sz w:val="24"/>
        </w:rPr>
        <w:t xml:space="preserve">Cuadro 1. </w:t>
      </w:r>
      <w:r>
        <w:rPr>
          <w:rFonts w:ascii="Times New Roman" w:hAnsi="Times New Roman"/>
          <w:i/>
          <w:sz w:val="24"/>
        </w:rPr>
        <w:t>Planificación integral de objetivos específicos.</w:t>
      </w:r>
      <w:bookmarkEnd w:id="bm_cuadro1"/>
    </w:p>
    <w:tbl>
      <w:tblPr>
        <w:tblStyle w:val="TableGrid"/>
        <w:tblW w:type="auto" w:w="0"/>
        <w:tblLook w:firstColumn="1" w:firstRow="1" w:lastColumn="0" w:lastRow="0" w:noHBand="0" w:noVBand="1" w:val="04A0"/>
        <w:tblLayout w:type="fixed"/>
      </w:tblPr>
      <w:tblGrid>
        <w:gridCol w:w="2551"/>
        <w:gridCol w:w="2551"/>
        <w:gridCol w:w="1701"/>
        <w:gridCol w:w="1984"/>
      </w:tblGrid>
      <w:tr>
        <w:tc>
          <w:tcPr>
            <w:tcW w:w="2551" w:type="dxa"/>
            <w:shd w:val="clear" w:color="auto" w:fill="4472C4"/>
          </w:tcPr>
          <w:p>
            <w:pPr>
              <w:spacing w:before="60" w:after="60" w:line="240" w:lineRule="auto"/>
              <w:jc w:val="center"/>
            </w:pPr>
            <w:r>
              <w:rPr>
                <w:rFonts w:ascii="Times New Roman" w:hAnsi="Times New Roman"/>
                <w:b/>
                <w:color w:val="FFFFFF"/>
                <w:sz w:val="20"/>
              </w:rPr>
              <w:t>Objetivo Específico</w:t>
            </w:r>
          </w:p>
        </w:tc>
        <w:tc>
          <w:tcPr>
            <w:tcW w:w="2551" w:type="dxa"/>
            <w:shd w:val="clear" w:color="auto" w:fill="4472C4"/>
          </w:tcPr>
          <w:p>
            <w:pPr>
              <w:spacing w:before="60" w:after="60" w:line="240" w:lineRule="auto"/>
              <w:jc w:val="center"/>
            </w:pPr>
            <w:r>
              <w:rPr>
                <w:rFonts w:ascii="Times New Roman" w:hAnsi="Times New Roman"/>
                <w:b/>
                <w:color w:val="FFFFFF"/>
                <w:sz w:val="20"/>
              </w:rPr>
              <w:t>Actividades</w:t>
            </w:r>
          </w:p>
        </w:tc>
        <w:tc>
          <w:tcPr>
            <w:tcW w:w="1701" w:type="dxa"/>
            <w:shd w:val="clear" w:color="auto" w:fill="4472C4"/>
          </w:tcPr>
          <w:p>
            <w:pPr>
              <w:spacing w:before="60" w:after="60" w:line="240" w:lineRule="auto"/>
              <w:jc w:val="center"/>
            </w:pPr>
            <w:r>
              <w:rPr>
                <w:rFonts w:ascii="Times New Roman" w:hAnsi="Times New Roman"/>
                <w:b/>
                <w:color w:val="FFFFFF"/>
                <w:sz w:val="20"/>
              </w:rPr>
              <w:t>Recursos</w:t>
            </w:r>
          </w:p>
        </w:tc>
        <w:tc>
          <w:tcPr>
            <w:tcW w:w="1984" w:type="dxa"/>
            <w:shd w:val="clear" w:color="auto" w:fill="4472C4"/>
          </w:tcPr>
          <w:p>
            <w:pPr>
              <w:spacing w:before="60" w:after="60" w:line="240" w:lineRule="auto"/>
              <w:jc w:val="center"/>
            </w:pPr>
            <w:r>
              <w:rPr>
                <w:rFonts w:ascii="Times New Roman" w:hAnsi="Times New Roman"/>
                <w:b/>
                <w:color w:val="FFFFFF"/>
                <w:sz w:val="20"/>
              </w:rPr>
              <w:t>Indicadores de Logro</w:t>
            </w:r>
          </w:p>
        </w:tc>
      </w:tr>
      <w:tr>
        <w:tc>
          <w:tcPr>
            <w:tcW w:w="2551" w:type="dxa"/>
            <w:shd w:val="clear" w:color="auto" w:fill="FFFFFF"/>
          </w:tcPr>
          <w:p>
            <w:pPr>
              <w:spacing w:before="60" w:after="60" w:line="240" w:lineRule="auto"/>
              <w:jc w:val="both"/>
            </w:pPr>
            <w:r>
              <w:rPr>
                <w:rFonts w:ascii="Times New Roman" w:hAnsi="Times New Roman"/>
                <w:b w:val="0"/>
                <w:color w:val="000000"/>
                <w:sz w:val="20"/>
              </w:rPr>
              <w:t>Diagnosticar el proceso actual de procura en el departamento administrativo.</w:t>
            </w:r>
          </w:p>
        </w:tc>
        <w:tc>
          <w:tcPr>
            <w:tcW w:w="2551" w:type="dxa"/>
            <w:shd w:val="clear" w:color="auto" w:fill="FFFFFF"/>
          </w:tcPr>
          <w:p>
            <w:pPr>
              <w:spacing w:before="60" w:after="60" w:line="240" w:lineRule="auto"/>
              <w:jc w:val="both"/>
            </w:pPr>
            <w:r>
              <w:rPr>
                <w:rFonts w:ascii="Times New Roman" w:hAnsi="Times New Roman"/>
                <w:b w:val="0"/>
                <w:color w:val="000000"/>
                <w:sz w:val="20"/>
              </w:rPr>
              <w:t>Aplicación de guías de observación directa y entrevistas al personal encargado del ciclo de compras de la empresa.</w:t>
            </w:r>
          </w:p>
        </w:tc>
        <w:tc>
          <w:tcPr>
            <w:tcW w:w="1701" w:type="dxa"/>
            <w:shd w:val="clear" w:color="auto" w:fill="FFFFFF"/>
          </w:tcPr>
          <w:p>
            <w:pPr>
              <w:spacing w:before="60" w:after="60" w:line="240" w:lineRule="auto"/>
              <w:jc w:val="both"/>
            </w:pPr>
            <w:r>
              <w:rPr>
                <w:rFonts w:ascii="Times New Roman" w:hAnsi="Times New Roman"/>
                <w:b w:val="0"/>
                <w:color w:val="000000"/>
                <w:sz w:val="20"/>
              </w:rPr>
              <w:t>Guía de entrevista, libreta de notas de campo, computadora de oficina.</w:t>
            </w:r>
          </w:p>
        </w:tc>
        <w:tc>
          <w:tcPr>
            <w:tcW w:w="1984" w:type="dxa"/>
            <w:shd w:val="clear" w:color="auto" w:fill="FFFFFF"/>
          </w:tcPr>
          <w:p>
            <w:pPr>
              <w:spacing w:before="60" w:after="60" w:line="240" w:lineRule="auto"/>
              <w:jc w:val="both"/>
            </w:pPr>
            <w:r>
              <w:rPr>
                <w:rFonts w:ascii="Times New Roman" w:hAnsi="Times New Roman"/>
                <w:b w:val="0"/>
                <w:color w:val="000000"/>
                <w:sz w:val="20"/>
              </w:rPr>
              <w:t>Mapeo situacional del flujo actual de las solicitudes de compra elaborado.</w:t>
            </w:r>
          </w:p>
        </w:tc>
      </w:tr>
      <w:tr>
        <w:tc>
          <w:tcPr>
            <w:tcW w:w="2551" w:type="dxa"/>
            <w:shd w:val="clear" w:color="auto" w:fill="D9E1F2"/>
          </w:tcPr>
          <w:p>
            <w:pPr>
              <w:spacing w:before="60" w:after="60" w:line="240" w:lineRule="auto"/>
              <w:jc w:val="both"/>
            </w:pPr>
            <w:r>
              <w:rPr>
                <w:rFonts w:ascii="Times New Roman" w:hAnsi="Times New Roman"/>
                <w:b w:val="0"/>
                <w:color w:val="000000"/>
                <w:sz w:val="20"/>
              </w:rPr>
              <w:t>Identificar las debilidades y cuellos de botella en el seguimiento y aprobación.</w:t>
            </w:r>
          </w:p>
        </w:tc>
        <w:tc>
          <w:tcPr>
            <w:tcW w:w="2551" w:type="dxa"/>
            <w:shd w:val="clear" w:color="auto" w:fill="D9E1F2"/>
          </w:tcPr>
          <w:p>
            <w:pPr>
              <w:spacing w:before="60" w:after="60" w:line="240" w:lineRule="auto"/>
              <w:jc w:val="both"/>
            </w:pPr>
            <w:r>
              <w:rPr>
                <w:rFonts w:ascii="Times New Roman" w:hAnsi="Times New Roman"/>
                <w:b w:val="0"/>
                <w:color w:val="000000"/>
                <w:sz w:val="20"/>
              </w:rPr>
              <w:t>Revisión y análisis de los tiempos promedio de respuesta en expedientes de compras anteriores y detección de fases críticas.</w:t>
            </w:r>
          </w:p>
        </w:tc>
        <w:tc>
          <w:tcPr>
            <w:tcW w:w="1701" w:type="dxa"/>
            <w:shd w:val="clear" w:color="auto" w:fill="D9E1F2"/>
          </w:tcPr>
          <w:p>
            <w:pPr>
              <w:spacing w:before="60" w:after="60" w:line="240" w:lineRule="auto"/>
              <w:jc w:val="both"/>
            </w:pPr>
            <w:r>
              <w:rPr>
                <w:rFonts w:ascii="Times New Roman" w:hAnsi="Times New Roman"/>
                <w:b w:val="0"/>
                <w:color w:val="000000"/>
                <w:sz w:val="20"/>
              </w:rPr>
              <w:t>Hojas de registro, histórico de órdenes de compra, software de oficina.</w:t>
            </w:r>
          </w:p>
        </w:tc>
        <w:tc>
          <w:tcPr>
            <w:tcW w:w="1984" w:type="dxa"/>
            <w:shd w:val="clear" w:color="auto" w:fill="D9E1F2"/>
          </w:tcPr>
          <w:p>
            <w:pPr>
              <w:spacing w:before="60" w:after="60" w:line="240" w:lineRule="auto"/>
              <w:jc w:val="both"/>
            </w:pPr>
            <w:r>
              <w:rPr>
                <w:rFonts w:ascii="Times New Roman" w:hAnsi="Times New Roman"/>
                <w:b w:val="0"/>
                <w:color w:val="000000"/>
                <w:sz w:val="20"/>
              </w:rPr>
              <w:t>Matriz de criticidad con los puntos de retraso documental identificados.</w:t>
            </w:r>
          </w:p>
        </w:tc>
      </w:tr>
      <w:tr>
        <w:tc>
          <w:tcPr>
            <w:tcW w:w="2551" w:type="dxa"/>
            <w:shd w:val="clear" w:color="auto" w:fill="FFFFFF"/>
          </w:tcPr>
          <w:p>
            <w:pPr>
              <w:spacing w:before="60" w:after="60" w:line="240" w:lineRule="auto"/>
              <w:jc w:val="both"/>
            </w:pPr>
            <w:r>
              <w:rPr>
                <w:rFonts w:ascii="Times New Roman" w:hAnsi="Times New Roman"/>
                <w:b w:val="0"/>
                <w:color w:val="000000"/>
                <w:sz w:val="20"/>
              </w:rPr>
              <w:t>Analizar las causas organizativas que generan retrasos en la adquisición.</w:t>
            </w:r>
          </w:p>
        </w:tc>
        <w:tc>
          <w:tcPr>
            <w:tcW w:w="2551" w:type="dxa"/>
            <w:shd w:val="clear" w:color="auto" w:fill="FFFFFF"/>
          </w:tcPr>
          <w:p>
            <w:pPr>
              <w:spacing w:before="60" w:after="60" w:line="240" w:lineRule="auto"/>
              <w:jc w:val="both"/>
            </w:pPr>
            <w:r>
              <w:rPr>
                <w:rFonts w:ascii="Times New Roman" w:hAnsi="Times New Roman"/>
                <w:b w:val="0"/>
                <w:color w:val="000000"/>
                <w:sz w:val="20"/>
              </w:rPr>
              <w:t>Clasificación analítica de los factores determinantes de las demoras mediante mesas de trabajo técnica con la administración.</w:t>
            </w:r>
          </w:p>
        </w:tc>
        <w:tc>
          <w:tcPr>
            <w:tcW w:w="1701" w:type="dxa"/>
            <w:shd w:val="clear" w:color="auto" w:fill="FFFFFF"/>
          </w:tcPr>
          <w:p>
            <w:pPr>
              <w:spacing w:before="60" w:after="60" w:line="240" w:lineRule="auto"/>
              <w:jc w:val="both"/>
            </w:pPr>
            <w:r>
              <w:rPr>
                <w:rFonts w:ascii="Times New Roman" w:hAnsi="Times New Roman"/>
                <w:b w:val="0"/>
                <w:color w:val="000000"/>
                <w:sz w:val="20"/>
              </w:rPr>
              <w:t>Diagramas causa-efecto, material de papelería, marco de control de procesos.</w:t>
            </w:r>
          </w:p>
        </w:tc>
        <w:tc>
          <w:tcPr>
            <w:tcW w:w="1984" w:type="dxa"/>
            <w:shd w:val="clear" w:color="auto" w:fill="FFFFFF"/>
          </w:tcPr>
          <w:p>
            <w:pPr>
              <w:spacing w:before="60" w:after="60" w:line="240" w:lineRule="auto"/>
              <w:jc w:val="both"/>
            </w:pPr>
            <w:r>
              <w:rPr>
                <w:rFonts w:ascii="Times New Roman" w:hAnsi="Times New Roman"/>
                <w:b w:val="0"/>
                <w:color w:val="000000"/>
                <w:sz w:val="20"/>
              </w:rPr>
              <w:t>Informe analítico con la jerarquización de las causas raíz de las demoras.</w:t>
            </w:r>
          </w:p>
        </w:tc>
      </w:tr>
      <w:tr>
        <w:tc>
          <w:tcPr>
            <w:tcW w:w="2551" w:type="dxa"/>
            <w:shd w:val="clear" w:color="auto" w:fill="D9E1F2"/>
          </w:tcPr>
          <w:p>
            <w:pPr>
              <w:spacing w:before="60" w:after="60" w:line="240" w:lineRule="auto"/>
              <w:jc w:val="both"/>
            </w:pPr>
            <w:r>
              <w:rPr>
                <w:rFonts w:ascii="Times New Roman" w:hAnsi="Times New Roman"/>
                <w:b w:val="0"/>
                <w:color w:val="000000"/>
                <w:sz w:val="20"/>
              </w:rPr>
              <w:t>Diseñar una propuesta de mejora procedimental para el control de la procura.</w:t>
            </w:r>
          </w:p>
        </w:tc>
        <w:tc>
          <w:tcPr>
            <w:tcW w:w="2551" w:type="dxa"/>
            <w:shd w:val="clear" w:color="auto" w:fill="D9E1F2"/>
          </w:tcPr>
          <w:p>
            <w:pPr>
              <w:spacing w:before="60" w:after="60" w:line="240" w:lineRule="auto"/>
              <w:jc w:val="both"/>
            </w:pPr>
            <w:r>
              <w:rPr>
                <w:rFonts w:ascii="Times New Roman" w:hAnsi="Times New Roman"/>
                <w:b w:val="0"/>
                <w:color w:val="000000"/>
                <w:sz w:val="20"/>
              </w:rPr>
              <w:t>Redacción del nuevo flujo de trabajo optimizado, asignación formal de roles y diseño de plantillas estandarizadas para cotizaciones.</w:t>
            </w:r>
          </w:p>
        </w:tc>
        <w:tc>
          <w:tcPr>
            <w:tcW w:w="1701" w:type="dxa"/>
            <w:shd w:val="clear" w:color="auto" w:fill="D9E1F2"/>
          </w:tcPr>
          <w:p>
            <w:pPr>
              <w:spacing w:before="60" w:after="60" w:line="240" w:lineRule="auto"/>
              <w:jc w:val="both"/>
            </w:pPr>
            <w:r>
              <w:rPr>
                <w:rFonts w:ascii="Times New Roman" w:hAnsi="Times New Roman"/>
                <w:b w:val="0"/>
                <w:color w:val="000000"/>
                <w:sz w:val="20"/>
              </w:rPr>
              <w:t>Procesador de texto, guías metodológicas de administración, normativas de la empresa.</w:t>
            </w:r>
          </w:p>
        </w:tc>
        <w:tc>
          <w:tcPr>
            <w:tcW w:w="1984" w:type="dxa"/>
            <w:shd w:val="clear" w:color="auto" w:fill="D9E1F2"/>
          </w:tcPr>
          <w:p>
            <w:pPr>
              <w:spacing w:before="60" w:after="60" w:line="240" w:lineRule="auto"/>
              <w:jc w:val="both"/>
            </w:pPr>
            <w:r>
              <w:rPr>
                <w:rFonts w:ascii="Times New Roman" w:hAnsi="Times New Roman"/>
                <w:b w:val="0"/>
                <w:color w:val="000000"/>
                <w:sz w:val="20"/>
              </w:rPr>
              <w:t>Propuesta metodológica de optimización de procura formulada y validada.</w:t>
            </w:r>
          </w:p>
        </w:tc>
      </w:tr>
    </w:tbl>
    <w:p/>
    <w:p>
      <w:bookmarkStart w:id="bm_cap2_crono" w:name="bm_cap2_crono"/>
      <w:pPr>
        <w:spacing w:before="480" w:after="480" w:line="360" w:lineRule="auto"/>
        <w:jc w:val="left"/>
      </w:pPr>
      <w:r>
        <w:rPr>
          <w:rFonts w:ascii="Times New Roman" w:hAnsi="Times New Roman"/>
          <w:b/>
          <w:sz w:val="24"/>
        </w:rPr>
        <w:t>Cronograma de actividades</w:t>
      </w:r>
      <w:bookmarkEnd w:id="bm_cap2_crono"/>
    </w:p>
    <w:p>
      <w:pPr>
        <w:spacing w:line="360" w:lineRule="auto" w:after="0" w:before="0"/>
        <w:ind w:firstLine="709"/>
        <w:jc w:val="both"/>
      </w:pPr>
      <w:r>
        <w:rPr>
          <w:rFonts w:ascii="Times New Roman" w:hAnsi="Times New Roman"/>
          <w:i w:val="0"/>
          <w:sz w:val="24"/>
        </w:rPr>
        <w:t>El cronograma estructura temporalmente las fases de diagnóstico, análisis y diseño de la propuesta, distribuidas a lo largo de las diez (10) semanas de duración de la pasantía:</w:t>
      </w:r>
    </w:p>
    <w:p>
      <w:bookmarkStart w:id="bm_cuadro2" w:name="bm_cuadro2"/>
      <w:pPr>
        <w:spacing w:before="480" w:after="240" w:line="360" w:lineRule="auto"/>
        <w:jc w:val="left"/>
      </w:pPr>
      <w:r>
        <w:rPr>
          <w:rFonts w:ascii="Times New Roman" w:hAnsi="Times New Roman"/>
          <w:b/>
          <w:sz w:val="24"/>
        </w:rPr>
        <w:t xml:space="preserve">Cuadro 2. </w:t>
      </w:r>
      <w:r>
        <w:rPr>
          <w:rFonts w:ascii="Times New Roman" w:hAnsi="Times New Roman"/>
          <w:i/>
          <w:sz w:val="24"/>
        </w:rPr>
        <w:t>Cronograma de actividades del proyecto.</w:t>
      </w:r>
      <w:bookmarkEnd w:id="bm_cuadro2"/>
    </w:p>
    <w:tbl>
      <w:tblPr>
        <w:tblStyle w:val="TableGrid"/>
        <w:tblW w:type="auto" w:w="0"/>
        <w:tblLook w:firstColumn="1" w:firstRow="1" w:lastColumn="0" w:lastRow="0" w:noHBand="0" w:noVBand="1" w:val="04A0"/>
        <w:tblLayout w:type="fixed"/>
      </w:tblPr>
      <w:tblGrid>
        <w:gridCol w:w="3033"/>
        <w:gridCol w:w="523"/>
        <w:gridCol w:w="523"/>
        <w:gridCol w:w="523"/>
        <w:gridCol w:w="523"/>
        <w:gridCol w:w="523"/>
        <w:gridCol w:w="523"/>
        <w:gridCol w:w="523"/>
        <w:gridCol w:w="523"/>
        <w:gridCol w:w="523"/>
        <w:gridCol w:w="523"/>
      </w:tblGrid>
      <w:tr>
        <w:tc>
          <w:tcPr>
            <w:tcW w:w="3033" w:type="dxa"/>
            <w:shd w:val="clear" w:color="auto" w:fill="4472C4"/>
          </w:tcPr>
          <w:p>
            <w:pPr>
              <w:spacing w:before="60" w:after="60" w:line="240" w:lineRule="auto"/>
              <w:jc w:val="center"/>
            </w:pPr>
            <w:r>
              <w:rPr>
                <w:rFonts w:ascii="Times New Roman" w:hAnsi="Times New Roman"/>
                <w:b/>
                <w:color w:val="FFFFFF"/>
                <w:sz w:val="20"/>
              </w:rPr>
              <w:t>Actividades Administrativas</w:t>
            </w:r>
          </w:p>
        </w:tc>
        <w:tc>
          <w:tcPr>
            <w:tcW w:w="523" w:type="dxa"/>
            <w:shd w:val="clear" w:color="auto" w:fill="4472C4"/>
          </w:tcPr>
          <w:p>
            <w:pPr>
              <w:spacing w:before="60" w:after="60" w:line="240" w:lineRule="auto"/>
              <w:jc w:val="center"/>
            </w:pPr>
            <w:r>
              <w:rPr>
                <w:rFonts w:ascii="Times New Roman" w:hAnsi="Times New Roman"/>
                <w:b/>
                <w:color w:val="FFFFFF"/>
                <w:sz w:val="18"/>
              </w:rPr>
              <w:t>S1</w:t>
            </w:r>
          </w:p>
        </w:tc>
        <w:tc>
          <w:tcPr>
            <w:tcW w:w="523" w:type="dxa"/>
            <w:shd w:val="clear" w:color="auto" w:fill="4472C4"/>
          </w:tcPr>
          <w:p>
            <w:pPr>
              <w:spacing w:before="60" w:after="60" w:line="240" w:lineRule="auto"/>
              <w:jc w:val="center"/>
            </w:pPr>
            <w:r>
              <w:rPr>
                <w:rFonts w:ascii="Times New Roman" w:hAnsi="Times New Roman"/>
                <w:b/>
                <w:color w:val="FFFFFF"/>
                <w:sz w:val="18"/>
              </w:rPr>
              <w:t>S2</w:t>
            </w:r>
          </w:p>
        </w:tc>
        <w:tc>
          <w:tcPr>
            <w:tcW w:w="523" w:type="dxa"/>
            <w:shd w:val="clear" w:color="auto" w:fill="4472C4"/>
          </w:tcPr>
          <w:p>
            <w:pPr>
              <w:spacing w:before="60" w:after="60" w:line="240" w:lineRule="auto"/>
              <w:jc w:val="center"/>
            </w:pPr>
            <w:r>
              <w:rPr>
                <w:rFonts w:ascii="Times New Roman" w:hAnsi="Times New Roman"/>
                <w:b/>
                <w:color w:val="FFFFFF"/>
                <w:sz w:val="18"/>
              </w:rPr>
              <w:t>S3</w:t>
            </w:r>
          </w:p>
        </w:tc>
        <w:tc>
          <w:tcPr>
            <w:tcW w:w="523" w:type="dxa"/>
            <w:shd w:val="clear" w:color="auto" w:fill="4472C4"/>
          </w:tcPr>
          <w:p>
            <w:pPr>
              <w:spacing w:before="60" w:after="60" w:line="240" w:lineRule="auto"/>
              <w:jc w:val="center"/>
            </w:pPr>
            <w:r>
              <w:rPr>
                <w:rFonts w:ascii="Times New Roman" w:hAnsi="Times New Roman"/>
                <w:b/>
                <w:color w:val="FFFFFF"/>
                <w:sz w:val="18"/>
              </w:rPr>
              <w:t>S4</w:t>
            </w:r>
          </w:p>
        </w:tc>
        <w:tc>
          <w:tcPr>
            <w:tcW w:w="523" w:type="dxa"/>
            <w:shd w:val="clear" w:color="auto" w:fill="4472C4"/>
          </w:tcPr>
          <w:p>
            <w:pPr>
              <w:spacing w:before="60" w:after="60" w:line="240" w:lineRule="auto"/>
              <w:jc w:val="center"/>
            </w:pPr>
            <w:r>
              <w:rPr>
                <w:rFonts w:ascii="Times New Roman" w:hAnsi="Times New Roman"/>
                <w:b/>
                <w:color w:val="FFFFFF"/>
                <w:sz w:val="18"/>
              </w:rPr>
              <w:t>S5</w:t>
            </w:r>
          </w:p>
        </w:tc>
        <w:tc>
          <w:tcPr>
            <w:tcW w:w="523" w:type="dxa"/>
            <w:shd w:val="clear" w:color="auto" w:fill="4472C4"/>
          </w:tcPr>
          <w:p>
            <w:pPr>
              <w:spacing w:before="60" w:after="60" w:line="240" w:lineRule="auto"/>
              <w:jc w:val="center"/>
            </w:pPr>
            <w:r>
              <w:rPr>
                <w:rFonts w:ascii="Times New Roman" w:hAnsi="Times New Roman"/>
                <w:b/>
                <w:color w:val="FFFFFF"/>
                <w:sz w:val="18"/>
              </w:rPr>
              <w:t>S6</w:t>
            </w:r>
          </w:p>
        </w:tc>
        <w:tc>
          <w:tcPr>
            <w:tcW w:w="523" w:type="dxa"/>
            <w:shd w:val="clear" w:color="auto" w:fill="4472C4"/>
          </w:tcPr>
          <w:p>
            <w:pPr>
              <w:spacing w:before="60" w:after="60" w:line="240" w:lineRule="auto"/>
              <w:jc w:val="center"/>
            </w:pPr>
            <w:r>
              <w:rPr>
                <w:rFonts w:ascii="Times New Roman" w:hAnsi="Times New Roman"/>
                <w:b/>
                <w:color w:val="FFFFFF"/>
                <w:sz w:val="18"/>
              </w:rPr>
              <w:t>S7</w:t>
            </w:r>
          </w:p>
        </w:tc>
        <w:tc>
          <w:tcPr>
            <w:tcW w:w="523" w:type="dxa"/>
            <w:shd w:val="clear" w:color="auto" w:fill="4472C4"/>
          </w:tcPr>
          <w:p>
            <w:pPr>
              <w:spacing w:before="60" w:after="60" w:line="240" w:lineRule="auto"/>
              <w:jc w:val="center"/>
            </w:pPr>
            <w:r>
              <w:rPr>
                <w:rFonts w:ascii="Times New Roman" w:hAnsi="Times New Roman"/>
                <w:b/>
                <w:color w:val="FFFFFF"/>
                <w:sz w:val="18"/>
              </w:rPr>
              <w:t>S8</w:t>
            </w:r>
          </w:p>
        </w:tc>
        <w:tc>
          <w:tcPr>
            <w:tcW w:w="523" w:type="dxa"/>
            <w:shd w:val="clear" w:color="auto" w:fill="4472C4"/>
          </w:tcPr>
          <w:p>
            <w:pPr>
              <w:spacing w:before="60" w:after="60" w:line="240" w:lineRule="auto"/>
              <w:jc w:val="center"/>
            </w:pPr>
            <w:r>
              <w:rPr>
                <w:rFonts w:ascii="Times New Roman" w:hAnsi="Times New Roman"/>
                <w:b/>
                <w:color w:val="FFFFFF"/>
                <w:sz w:val="18"/>
              </w:rPr>
              <w:t>S9</w:t>
            </w:r>
          </w:p>
        </w:tc>
        <w:tc>
          <w:tcPr>
            <w:tcW w:w="523" w:type="dxa"/>
            <w:shd w:val="clear" w:color="auto" w:fill="4472C4"/>
          </w:tcPr>
          <w:p>
            <w:pPr>
              <w:spacing w:before="60" w:after="60" w:line="240" w:lineRule="auto"/>
              <w:jc w:val="center"/>
            </w:pPr>
            <w:r>
              <w:rPr>
                <w:rFonts w:ascii="Times New Roman" w:hAnsi="Times New Roman"/>
                <w:b/>
                <w:color w:val="FFFFFF"/>
                <w:sz w:val="18"/>
              </w:rPr>
              <w:t>S10</w:t>
            </w:r>
          </w:p>
        </w:tc>
      </w:tr>
      <w:tr>
        <w:tc>
          <w:tcPr>
            <w:tcW w:w="3033" w:type="dxa"/>
            <w:shd w:val="clear" w:color="auto" w:fill="FFFFFF"/>
          </w:tcPr>
          <w:p>
            <w:pPr>
              <w:spacing w:before="60" w:after="60" w:line="240" w:lineRule="auto"/>
              <w:jc w:val="both"/>
            </w:pPr>
            <w:r>
              <w:rPr>
                <w:rFonts w:ascii="Times New Roman" w:hAnsi="Times New Roman"/>
                <w:b w:val="0"/>
                <w:color w:val="000000"/>
                <w:sz w:val="20"/>
              </w:rPr>
              <w:t>Reconocimiento del departamento y levantamiento del flujo actual de procura.</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r>
      <w:tr>
        <w:tc>
          <w:tcPr>
            <w:tcW w:w="3033" w:type="dxa"/>
            <w:shd w:val="clear" w:color="auto" w:fill="D9E1F2"/>
          </w:tcPr>
          <w:p>
            <w:pPr>
              <w:spacing w:before="60" w:after="60" w:line="240" w:lineRule="auto"/>
              <w:jc w:val="both"/>
            </w:pPr>
            <w:r>
              <w:rPr>
                <w:rFonts w:ascii="Times New Roman" w:hAnsi="Times New Roman"/>
                <w:b w:val="0"/>
                <w:color w:val="000000"/>
                <w:sz w:val="20"/>
              </w:rPr>
              <w:t>Aplicación de entrevistas y detección de cuellos de botella en las aprobaciones.</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r>
      <w:tr>
        <w:tc>
          <w:tcPr>
            <w:tcW w:w="3033" w:type="dxa"/>
            <w:shd w:val="clear" w:color="auto" w:fill="FFFFFF"/>
          </w:tcPr>
          <w:p>
            <w:pPr>
              <w:spacing w:before="60" w:after="60" w:line="240" w:lineRule="auto"/>
              <w:jc w:val="both"/>
            </w:pPr>
            <w:r>
              <w:rPr>
                <w:rFonts w:ascii="Times New Roman" w:hAnsi="Times New Roman"/>
                <w:b w:val="0"/>
                <w:color w:val="000000"/>
                <w:sz w:val="20"/>
              </w:rPr>
              <w:t>Análisis cuantitativo y cualitativo de causas de retraso en el ciclo de compras.</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r>
      <w:tr>
        <w:tc>
          <w:tcPr>
            <w:tcW w:w="3033" w:type="dxa"/>
            <w:shd w:val="clear" w:color="auto" w:fill="D9E1F2"/>
          </w:tcPr>
          <w:p>
            <w:pPr>
              <w:spacing w:before="60" w:after="60" w:line="240" w:lineRule="auto"/>
              <w:jc w:val="both"/>
            </w:pPr>
            <w:r>
              <w:rPr>
                <w:rFonts w:ascii="Times New Roman" w:hAnsi="Times New Roman"/>
                <w:b w:val="0"/>
                <w:color w:val="000000"/>
                <w:sz w:val="20"/>
              </w:rPr>
              <w:t>Diseño del nuevo flujo optimizado, roles y plantillas de control.</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r>
      <w:tr>
        <w:tc>
          <w:tcPr>
            <w:tcW w:w="3033" w:type="dxa"/>
            <w:shd w:val="clear" w:color="auto" w:fill="FFFFFF"/>
          </w:tcPr>
          <w:p>
            <w:pPr>
              <w:spacing w:before="60" w:after="60" w:line="240" w:lineRule="auto"/>
              <w:jc w:val="both"/>
            </w:pPr>
            <w:r>
              <w:rPr>
                <w:rFonts w:ascii="Times New Roman" w:hAnsi="Times New Roman"/>
                <w:b w:val="0"/>
                <w:color w:val="000000"/>
                <w:sz w:val="20"/>
              </w:rPr>
              <w:t>Redacción y validación de la propuesta de mejora procedimental.</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r>
      <w:tr>
        <w:tc>
          <w:tcPr>
            <w:tcW w:w="3033" w:type="dxa"/>
            <w:shd w:val="clear" w:color="auto" w:fill="D9E1F2"/>
          </w:tcPr>
          <w:p>
            <w:pPr>
              <w:spacing w:before="60" w:after="60" w:line="240" w:lineRule="auto"/>
              <w:jc w:val="both"/>
            </w:pPr>
            <w:r>
              <w:rPr>
                <w:rFonts w:ascii="Times New Roman" w:hAnsi="Times New Roman"/>
                <w:b w:val="0"/>
                <w:color w:val="000000"/>
                <w:sz w:val="20"/>
              </w:rPr>
              <w:t>Presentación formal de la propuesta a la gerencia y ajustes finales.</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r>
      <w:tr>
        <w:tc>
          <w:tcPr>
            <w:tcW w:w="3033" w:type="dxa"/>
            <w:shd w:val="clear" w:color="auto" w:fill="FFFFFF"/>
          </w:tcPr>
          <w:p>
            <w:pPr>
              <w:spacing w:before="60" w:after="60" w:line="240" w:lineRule="auto"/>
              <w:jc w:val="both"/>
            </w:pPr>
            <w:r>
              <w:rPr>
                <w:rFonts w:ascii="Times New Roman" w:hAnsi="Times New Roman"/>
                <w:b w:val="0"/>
                <w:color w:val="000000"/>
                <w:sz w:val="20"/>
              </w:rPr>
              <w:t>Inducción institucional y familiarización con el sistema de compras vigente.</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r>
      <w:tr>
        <w:tc>
          <w:tcPr>
            <w:tcW w:w="3033" w:type="dxa"/>
            <w:shd w:val="clear" w:color="auto" w:fill="D9E1F2"/>
          </w:tcPr>
          <w:p>
            <w:pPr>
              <w:spacing w:before="60" w:after="60" w:line="240" w:lineRule="auto"/>
              <w:jc w:val="both"/>
            </w:pPr>
            <w:r>
              <w:rPr>
                <w:rFonts w:ascii="Times New Roman" w:hAnsi="Times New Roman"/>
                <w:b w:val="0"/>
                <w:color w:val="000000"/>
                <w:sz w:val="20"/>
              </w:rPr>
              <w:t>Apoyo en la recepción y tramitación de solicitudes de compra del departamento.</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r>
      <w:tr>
        <w:tc>
          <w:tcPr>
            <w:tcW w:w="3033" w:type="dxa"/>
            <w:shd w:val="clear" w:color="auto" w:fill="FFFFFF"/>
          </w:tcPr>
          <w:p>
            <w:pPr>
              <w:spacing w:before="60" w:after="60" w:line="240" w:lineRule="auto"/>
              <w:jc w:val="both"/>
            </w:pPr>
            <w:r>
              <w:rPr>
                <w:rFonts w:ascii="Times New Roman" w:hAnsi="Times New Roman"/>
                <w:b w:val="0"/>
                <w:color w:val="000000"/>
                <w:sz w:val="20"/>
              </w:rPr>
              <w:t>Seguimiento a cotizaciones y actualización de expedientes de proveedores.</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r>
      <w:tr>
        <w:tc>
          <w:tcPr>
            <w:tcW w:w="3033" w:type="dxa"/>
            <w:shd w:val="clear" w:color="auto" w:fill="D9E1F2"/>
          </w:tcPr>
          <w:p>
            <w:pPr>
              <w:spacing w:before="60" w:after="60" w:line="240" w:lineRule="auto"/>
              <w:jc w:val="both"/>
            </w:pPr>
            <w:r>
              <w:rPr>
                <w:rFonts w:ascii="Times New Roman" w:hAnsi="Times New Roman"/>
                <w:b w:val="0"/>
                <w:color w:val="000000"/>
                <w:sz w:val="20"/>
              </w:rPr>
              <w:t>Apoyo en el cierre administrativo del período y archivo de órdenes de compra.</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r>
    </w:tbl>
    <w:p/>
    <w:p>
      <w:pPr>
        <w:sectPr>
          <w:footerReference w:type="default" r:id="rId31"/>
          <w:type w:val="continuous"/>
          <w:pgSz w:w="12240" w:h="15840"/>
          <w:pgMar w:top="1701" w:right="1701" w:bottom="1701" w:left="2268" w:header="720" w:footer="720" w:gutter="0"/>
          <w:cols w:space="720"/>
          <w:titlePg/>
          <w:docGrid w:linePitch="360"/>
        </w:sectPr>
      </w:pPr>
    </w:p>
    <w:p>
      <w:pPr>
        <w:spacing w:after="480"/>
        <w:jc w:val="center"/>
      </w:pPr>
      <w:r>
        <w:rPr>
          <w:rFonts w:ascii="Times New Roman" w:hAnsi="Times New Roman"/>
          <w:b/>
          <w:sz w:val="24"/>
        </w:rPr>
        <w:t>CAPÍTULO III</w:t>
      </w:r>
    </w:p>
    <w:p>
      <w:bookmarkStart w:id="bm_cap3" w:name="bm_cap3"/>
      <w:pPr>
        <w:spacing w:before="480"/>
        <w:jc w:val="center"/>
      </w:pPr>
      <w:r>
        <w:rPr>
          <w:rFonts w:ascii="Times New Roman" w:hAnsi="Times New Roman"/>
          <w:b/>
          <w:sz w:val="24"/>
        </w:rPr>
        <w:t>MARCO TEÓRICO</w:t>
      </w:r>
      <w:bookmarkEnd w:id="bm_cap3"/>
    </w:p>
    <w:p>
      <w:pPr>
        <w:sectPr>
          <w:footerReference w:type="default" r:id="rId32"/>
          <w:pgSz w:w="12240" w:h="15840"/>
          <w:pgMar w:top="2835" w:right="1701" w:bottom="1701" w:left="2268" w:header="720" w:footer="720" w:gutter="0"/>
          <w:cols w:space="720"/>
          <w:titlePg/>
          <w:docGrid w:linePitch="360"/>
        </w:sectPr>
      </w:pPr>
    </w:p>
    <w:p>
      <w:bookmarkStart w:id="bm_cap3_bases" w:name="bm_cap3_bases"/>
      <w:pPr>
        <w:spacing w:before="480" w:after="480" w:line="360" w:lineRule="auto"/>
        <w:jc w:val="left"/>
      </w:pPr>
      <w:r>
        <w:rPr>
          <w:rFonts w:ascii="Times New Roman" w:hAnsi="Times New Roman"/>
          <w:b/>
          <w:sz w:val="24"/>
        </w:rPr>
        <w:t>Procura y Gestión de Compras</w:t>
      </w:r>
      <w:bookmarkEnd w:id="bm_cap3_bases"/>
    </w:p>
    <w:p>
      <w:pPr>
        <w:spacing w:line="360" w:lineRule="auto" w:after="0" w:before="0"/>
        <w:ind w:firstLine="709"/>
        <w:jc w:val="both"/>
      </w:pPr>
      <w:r>
        <w:rPr>
          <w:rFonts w:ascii="Times New Roman" w:hAnsi="Times New Roman"/>
          <w:i w:val="0"/>
          <w:sz w:val="24"/>
        </w:rPr>
        <w:t>La procura se define como el conjunto de actividades orientadas a la adquisición de bienes, materiales e insumos necesarios para el funcionamiento continuo de una organización. Monterroso (2002) establece que la gestión de abastecimiento eficiente no se limita a la ejecución de compras, sino que abarca la planificación de necesidades, la selección de proveedores, la negociación de condiciones y el control del cumplimiento de los requerimientos en tiempo, calidad y costo.</w:t>
      </w:r>
    </w:p>
    <w:p>
      <w:pPr>
        <w:spacing w:line="360" w:lineRule="auto" w:after="0" w:before="0"/>
        <w:ind w:firstLine="709"/>
        <w:jc w:val="both"/>
      </w:pPr>
      <w:r>
        <w:rPr>
          <w:rFonts w:ascii="Times New Roman" w:hAnsi="Times New Roman"/>
          <w:i w:val="0"/>
          <w:sz w:val="24"/>
        </w:rPr>
        <w:t>En el contexto del departamento administrativo de Lubricantes y Equipos Varyna, C.A., la procura cumple un rol estratégico al garantizar la disponibilidad oportuna de insumos para las operaciones industriales y de campo. La ausencia de procedimientos formalizados en este ciclo genera interrupciones en la cadena de suministro interna, evidenciando la necesidad de una propuesta de optimización procedimental que estandarice cada fase del proceso de adquisición.</w:t>
      </w:r>
    </w:p>
    <w:p>
      <w:pPr>
        <w:spacing w:line="240" w:lineRule="auto" w:before="720" w:after="240"/>
        <w:ind w:left="709" w:right="709"/>
        <w:jc w:val="both"/>
      </w:pPr>
      <w:r>
        <w:rPr>
          <w:rFonts w:ascii="Times New Roman" w:hAnsi="Times New Roman"/>
          <w:sz w:val="24"/>
        </w:rPr>
        <w:t>La gestión de compras y abastecimiento comprende un conjunto de actividades que permiten identificar las necesidades de materiales e insumos de la organización, seleccionar adecuadamente a los proveedores, negociar las condiciones de adquisición más convenientes y asegurar que los bienes requeridos lleguen en las cantidades correctas, en el momento oportuno y al menor costo posible, contribuyendo directamente a la eficiencia operativa de la empresa.</w:t>
      </w:r>
      <w:r>
        <w:rPr>
          <w:rFonts w:ascii="Times New Roman" w:hAnsi="Times New Roman"/>
          <w:sz w:val="24"/>
        </w:rPr>
        <w:t xml:space="preserve"> (Monterroso, 2002, p. 3)</w:t>
      </w:r>
    </w:p>
    <w:p>
      <w:pPr>
        <w:spacing w:line="360" w:lineRule="auto" w:after="0" w:before="0"/>
        <w:ind w:firstLine="709"/>
        <w:jc w:val="both"/>
      </w:pPr>
      <w:r>
        <w:rPr>
          <w:rFonts w:ascii="Times New Roman" w:hAnsi="Times New Roman"/>
          <w:i w:val="0"/>
          <w:sz w:val="24"/>
        </w:rPr>
        <w:t>Aquí va el comentario posterior a la cita (opcional, solo si se usa cita larga).</w:t>
      </w:r>
    </w:p>
    <w:p>
      <w:pPr>
        <w:spacing w:before="480" w:after="480" w:line="360" w:lineRule="auto"/>
        <w:jc w:val="left"/>
      </w:pPr>
      <w:r>
        <w:rPr>
          <w:rFonts w:ascii="Times New Roman" w:hAnsi="Times New Roman"/>
          <w:b/>
          <w:sz w:val="24"/>
        </w:rPr>
        <w:t>Proceso Administrativo</w:t>
      </w:r>
    </w:p>
    <w:p>
      <w:pPr>
        <w:spacing w:line="360" w:lineRule="auto" w:after="0" w:before="0"/>
        <w:ind w:firstLine="709"/>
        <w:jc w:val="both"/>
      </w:pPr>
      <w:r>
        <w:rPr>
          <w:rFonts w:ascii="Times New Roman" w:hAnsi="Times New Roman"/>
          <w:i w:val="0"/>
          <w:sz w:val="24"/>
        </w:rPr>
        <w:t>El proceso administrativo constituye el marco conceptual fundamental que rige el funcionamiento de las organizaciones modernas. Chiavenato (2006) lo describe como el conjunto secuencial e interrelacionado de funciones de planificación, organización, dirección y control, orientadas al logro eficiente de los objetivos organizacionales mediante el uso racional de los recursos disponibles.</w:t>
      </w:r>
    </w:p>
    <w:p>
      <w:pPr>
        <w:spacing w:line="360" w:lineRule="auto" w:after="0" w:before="0"/>
        <w:ind w:firstLine="709"/>
        <w:jc w:val="both"/>
      </w:pPr>
      <w:r>
        <w:rPr>
          <w:rFonts w:ascii="Times New Roman" w:hAnsi="Times New Roman"/>
          <w:i w:val="0"/>
          <w:sz w:val="24"/>
        </w:rPr>
        <w:t>Aplicado al contexto de la procura, el proceso administrativo provee la estructura metodológica necesaria para formalizar cada etapa del ciclo de compras. La planificación define las necesidades y tiempos de adquisición; la organización asigna responsabilidades claras a cada actor del proceso; la dirección asegura la ejecución coordinada de las actividades; y el control verifica el cumplimiento de los procedimientos y detecta desviaciones que requieren corrección.</w:t>
      </w:r>
    </w:p>
    <w:p>
      <w:pPr>
        <w:spacing w:before="480" w:after="480" w:line="360" w:lineRule="auto"/>
        <w:jc w:val="left"/>
      </w:pPr>
      <w:r>
        <w:rPr>
          <w:rFonts w:ascii="Times New Roman" w:hAnsi="Times New Roman"/>
          <w:b/>
          <w:sz w:val="24"/>
        </w:rPr>
        <w:t>Control Interno en los Procesos de Compras</w:t>
      </w:r>
    </w:p>
    <w:p>
      <w:pPr>
        <w:spacing w:line="360" w:lineRule="auto" w:after="0" w:before="0"/>
        <w:ind w:firstLine="709"/>
        <w:jc w:val="both"/>
      </w:pPr>
      <w:r>
        <w:rPr>
          <w:rFonts w:ascii="Times New Roman" w:hAnsi="Times New Roman"/>
          <w:i w:val="0"/>
          <w:sz w:val="24"/>
        </w:rPr>
        <w:t>El control interno se define como el proceso diseñado e implementado por la dirección de una organización para proporcionar una seguridad razonable sobre la consecución de los objetivos en las categorías de eficiencia operativa, confiabilidad de la información financiera y cumplimiento de las normas aplicables. Mantilla (2005) señala que un sistema de control interno robusto en el área de compras minimiza los riesgos de fraude, duplicidad de pagos y adquisiciones no autorizadas.</w:t>
      </w:r>
    </w:p>
    <w:p>
      <w:pPr>
        <w:spacing w:line="360" w:lineRule="auto" w:after="0" w:before="0"/>
        <w:ind w:firstLine="709"/>
        <w:jc w:val="both"/>
      </w:pPr>
      <w:r>
        <w:rPr>
          <w:rFonts w:ascii="Times New Roman" w:hAnsi="Times New Roman"/>
          <w:i w:val="0"/>
          <w:sz w:val="24"/>
        </w:rPr>
        <w:t>En el proceso de procura de Lubricantes y Equipos Varyna, C.A., el fortalecimiento del control interno implica la definición de niveles de autorización por monto de compra, la implementación de formularios estandarizados de solicitud y la trazabilidad documental de cada expediente desde la requisición hasta la orden de compra cerrada. Estas medidas reducen la discrecionalidad en las decisiones de adquisición y aumentan la transparencia del proceso.</w:t>
      </w:r>
    </w:p>
    <w:p>
      <w:pPr>
        <w:spacing w:before="480" w:after="480" w:line="360" w:lineRule="auto"/>
        <w:jc w:val="left"/>
      </w:pPr>
      <w:r>
        <w:rPr>
          <w:rFonts w:ascii="Times New Roman" w:hAnsi="Times New Roman"/>
          <w:b/>
          <w:sz w:val="24"/>
        </w:rPr>
        <w:t>Optimización de Procesos Organizacionales</w:t>
      </w:r>
    </w:p>
    <w:p>
      <w:pPr>
        <w:spacing w:line="360" w:lineRule="auto" w:after="0" w:before="0"/>
        <w:ind w:firstLine="709"/>
        <w:jc w:val="both"/>
      </w:pPr>
      <w:r>
        <w:rPr>
          <w:rFonts w:ascii="Times New Roman" w:hAnsi="Times New Roman"/>
          <w:i w:val="0"/>
          <w:sz w:val="24"/>
        </w:rPr>
        <w:t>La optimización de procesos organizacionales consiste en el análisis sistemático de los flujos de trabajo existentes con el propósito de identificar ineficiencias, eliminar pasos redundantes y rediseñar los procedimientos para lograr los mismos resultados con menor consumo de tiempo y recursos. Según Harrington (1993), un proceso optimizado debe ser simple, medible, controlable y adaptable a las variaciones del entorno operativo.</w:t>
      </w:r>
    </w:p>
    <w:p>
      <w:pPr>
        <w:spacing w:line="360" w:lineRule="auto" w:after="0" w:before="0"/>
        <w:ind w:firstLine="709"/>
        <w:jc w:val="both"/>
      </w:pPr>
      <w:r>
        <w:rPr>
          <w:rFonts w:ascii="Times New Roman" w:hAnsi="Times New Roman"/>
          <w:i w:val="0"/>
          <w:sz w:val="24"/>
        </w:rPr>
        <w:t>En el ámbito de la administración de compras, la optimización procedimental se traduce en la reducción de los ciclos de aprobación, la estandarización de los formatos de cotización y la clarificación de los roles y responsabilidades de cada actor. El resultado esperado es una disminución verificable de los tiempos de respuesta en la adquisición de insumos y una mejora en la capacidad de la organización para anticipar sus necesidades de abastecimiento.</w:t>
      </w:r>
    </w:p>
    <w:p>
      <w:pPr>
        <w:spacing w:before="480" w:after="480" w:line="360" w:lineRule="auto"/>
        <w:jc w:val="left"/>
      </w:pPr>
      <w:r>
        <w:rPr>
          <w:rFonts w:ascii="Times New Roman" w:hAnsi="Times New Roman"/>
          <w:b/>
          <w:sz w:val="24"/>
        </w:rPr>
        <w:t>Proyecto Factible como Modalidad de Investigación</w:t>
      </w:r>
    </w:p>
    <w:p>
      <w:pPr>
        <w:spacing w:line="360" w:lineRule="auto" w:after="0" w:before="0"/>
        <w:ind w:firstLine="709"/>
        <w:jc w:val="both"/>
      </w:pPr>
      <w:r>
        <w:rPr>
          <w:rFonts w:ascii="Times New Roman" w:hAnsi="Times New Roman"/>
          <w:i w:val="0"/>
          <w:sz w:val="24"/>
        </w:rPr>
        <w:t>La Universidad Pedagógica Experimental Libertador (UPEL, 2016) define el proyecto factible como la investigación, elaboración y desarrollo de una propuesta de un modelo operativo viable para solucionar problemas, requerimientos o necesidades de organizaciones o grupos sociales. Esta modalidad exige la comprobación de la viabilidad técnica y operativa de la solución planteada, sustentada en un diagnóstico de campo que evidencie la situación deficitaria que da origen a la propuesta.</w:t>
      </w:r>
    </w:p>
    <w:p>
      <w:pPr>
        <w:spacing w:line="360" w:lineRule="auto" w:after="0" w:before="0"/>
        <w:ind w:firstLine="709"/>
        <w:jc w:val="both"/>
      </w:pPr>
      <w:r>
        <w:rPr>
          <w:rFonts w:ascii="Times New Roman" w:hAnsi="Times New Roman"/>
          <w:i w:val="0"/>
          <w:sz w:val="24"/>
        </w:rPr>
        <w:t>Arias (2012) complementa esta definición señalando que el proyecto factible avanza hasta proponer y, en muchos casos, desarrollar la solución, demostrando su aplicabilidad en el contexto real. El presente trabajo se enmarca en esta modalidad al partir del diagnóstico del proceso de procura en Lubricantes y Equipos Varyna, C.A., para proponer un conjunto de mejoras procedimentales cuya implementación es técnica y operativamente viable para la organización.</w:t>
      </w:r>
    </w:p>
    <w:p>
      <w:pPr>
        <w:sectPr>
          <w:footerReference w:type="default" r:id="rId33"/>
          <w:type w:val="continuous"/>
          <w:pgSz w:w="12240" w:h="15840"/>
          <w:pgMar w:top="1701" w:right="1701" w:bottom="1701" w:left="2268" w:header="720" w:footer="720" w:gutter="0"/>
          <w:cols w:space="720"/>
          <w:titlePg/>
          <w:docGrid w:linePitch="360"/>
        </w:sectPr>
      </w:pPr>
    </w:p>
    <w:p>
      <w:pPr>
        <w:spacing w:after="480"/>
        <w:jc w:val="center"/>
      </w:pPr>
      <w:r>
        <w:rPr>
          <w:rFonts w:ascii="Times New Roman" w:hAnsi="Times New Roman"/>
          <w:b/>
          <w:sz w:val="24"/>
        </w:rPr>
        <w:t>CAPÍTULO IV</w:t>
      </w:r>
    </w:p>
    <w:p>
      <w:bookmarkStart w:id="bm_cap4" w:name="bm_cap4"/>
      <w:pPr>
        <w:spacing w:before="480"/>
        <w:jc w:val="center"/>
      </w:pPr>
      <w:r>
        <w:rPr>
          <w:rFonts w:ascii="Times New Roman" w:hAnsi="Times New Roman"/>
          <w:b/>
          <w:sz w:val="24"/>
        </w:rPr>
        <w:t>ACTIVIDADES REALIZADAS</w:t>
      </w:r>
      <w:bookmarkEnd w:id="bm_cap4"/>
    </w:p>
    <w:p>
      <w:pPr>
        <w:sectPr>
          <w:footerReference w:type="default" r:id="rId34"/>
          <w:pgSz w:w="12240" w:h="15840"/>
          <w:pgMar w:top="2835" w:right="1701" w:bottom="1701" w:left="2268" w:header="720" w:footer="720" w:gutter="0"/>
          <w:cols w:space="720"/>
          <w:titlePg/>
          <w:docGrid w:linePitch="360"/>
        </w:sectPr>
      </w:pPr>
    </w:p>
    <w:p>
      <w:bookmarkStart w:id="bm_cap4_desc" w:name="bm_cap4_desc"/>
      <w:pPr>
        <w:spacing w:before="480" w:after="480" w:line="360" w:lineRule="auto"/>
        <w:jc w:val="left"/>
      </w:pPr>
      <w:r>
        <w:rPr>
          <w:rFonts w:ascii="Times New Roman" w:hAnsi="Times New Roman"/>
          <w:b/>
          <w:sz w:val="24"/>
        </w:rPr>
        <w:t>Descripción de Actividades Ejecutadas por Semana</w:t>
      </w:r>
      <w:bookmarkEnd w:id="bm_cap4_desc"/>
    </w:p>
    <w:p>
      <w:pPr>
        <w:spacing w:line="360" w:lineRule="auto" w:after="0" w:before="0"/>
        <w:ind w:firstLine="709"/>
        <w:jc w:val="both"/>
      </w:pPr>
      <w:r>
        <w:rPr>
          <w:rFonts w:ascii="Times New Roman" w:hAnsi="Times New Roman"/>
          <w:i w:val="0"/>
          <w:sz w:val="24"/>
        </w:rPr>
        <w:t>Durante las diez (10) semanas de práctica profesional, se ejecutaron fases sucesivas de diagnóstico, análisis y diseño de la propuesta de optimización:</w:t>
      </w:r>
    </w:p>
    <w:p>
      <w:pPr>
        <w:spacing w:before="480" w:after="480" w:line="360" w:lineRule="auto"/>
        <w:jc w:val="left"/>
      </w:pPr>
      <w:r>
        <w:rPr>
          <w:rFonts w:ascii="Times New Roman" w:hAnsi="Times New Roman"/>
          <w:b/>
          <w:sz w:val="24"/>
        </w:rPr>
        <w:t>Semana 1</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Inducción institucional, recorrido por las instalaciones, presentación ante el equipo del departamento administrativo y familiarización con los procedimientos generales de la empresa y el área de procura.</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Observación directa del flujo procedimental de las solicitudes de compra, identificación preliminar de las etapas del ciclo de procura y formulación inicial de la situación problemática.</w:t>
      </w:r>
    </w:p>
    <w:p>
      <w:pPr>
        <w:spacing w:before="480" w:after="480" w:line="360" w:lineRule="auto"/>
        <w:jc w:val="left"/>
      </w:pPr>
      <w:r>
        <w:rPr>
          <w:rFonts w:ascii="Times New Roman" w:hAnsi="Times New Roman"/>
          <w:b/>
          <w:sz w:val="24"/>
        </w:rPr>
        <w:t>Semana 2</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Apoyo en la recepción, clasificación y registro de solicitudes de compra pendientes, y familiarización con el sistema de seguimiento de cotizaciones vigente en el departamento.</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Levantamiento detallado del flujo secuencial de las adquisiciones mediante entrevistas informales al personal encargado y elaboración del mapeo situacional del proceso actual.</w:t>
      </w:r>
    </w:p>
    <w:p>
      <w:pPr>
        <w:spacing w:before="480" w:after="480" w:line="360" w:lineRule="auto"/>
        <w:jc w:val="left"/>
      </w:pPr>
      <w:r>
        <w:rPr>
          <w:rFonts w:ascii="Times New Roman" w:hAnsi="Times New Roman"/>
          <w:b/>
          <w:sz w:val="24"/>
        </w:rPr>
        <w:t>Semana 3</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Colaboración en la tramitación de requisiciones de materiales e insumos, apoyo en la comunicación con proveedores y actualización del registro de cotizaciones en proceso.</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Aplicación de guía de entrevista estructurada al personal de compras y administración para identificar los cuellos de botella en las fases de seguimiento y aprobación.</w:t>
      </w:r>
    </w:p>
    <w:p>
      <w:pPr>
        <w:spacing w:before="480" w:after="480" w:line="360" w:lineRule="auto"/>
        <w:jc w:val="left"/>
      </w:pPr>
      <w:r>
        <w:rPr>
          <w:rFonts w:ascii="Times New Roman" w:hAnsi="Times New Roman"/>
          <w:b/>
          <w:sz w:val="24"/>
        </w:rPr>
        <w:t>Semana 4</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Apoyo en el seguimiento de órdenes de compra abiertas, verificación del estatus de cotizaciones pendientes de respuesta y actualización del registro de proveedores activos.</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Revisión y análisis de expedientes históricos de compras para determinar los tiempos promedio de respuesta en cada fase del ciclo de adquisición e identificación de las etapas críticas.</w:t>
      </w:r>
    </w:p>
    <w:p>
      <w:pPr>
        <w:spacing w:before="480" w:after="480" w:line="360" w:lineRule="auto"/>
        <w:jc w:val="left"/>
      </w:pPr>
      <w:r>
        <w:rPr>
          <w:rFonts w:ascii="Times New Roman" w:hAnsi="Times New Roman"/>
          <w:b/>
          <w:sz w:val="24"/>
        </w:rPr>
        <w:t>Semana 5</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Tramitación de solicitudes de compra recibidas durante la semana, apoyo en la elaboración de cuadros comparativos de cotizaciones y actualización de la base de proveedores.</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Análisis cualitativo y cuantitativo de las causas organizativas que generan retrasos mediante diagramas causa-efecto y clasificación jerárquica de los factores determinantes.</w:t>
      </w:r>
    </w:p>
    <w:p>
      <w:pPr>
        <w:spacing w:before="480" w:after="480" w:line="360" w:lineRule="auto"/>
        <w:jc w:val="left"/>
      </w:pPr>
      <w:r>
        <w:rPr>
          <w:rFonts w:ascii="Times New Roman" w:hAnsi="Times New Roman"/>
          <w:b/>
          <w:sz w:val="24"/>
        </w:rPr>
        <w:t>Semana 6</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Colaboración en el seguimiento a cotizaciones pendientes de aprobación gerencial y apoyo en la actualización de expedientes de compras activos del período.</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Diseño del nuevo flujo de trabajo optimizado para el proceso de procura, con definición de los puntos de control, los responsables de cada etapa y los tiempos máximos de respuesta por fase.</w:t>
      </w:r>
    </w:p>
    <w:p>
      <w:pPr>
        <w:spacing w:before="480" w:after="480" w:line="360" w:lineRule="auto"/>
        <w:jc w:val="left"/>
      </w:pPr>
      <w:r>
        <w:rPr>
          <w:rFonts w:ascii="Times New Roman" w:hAnsi="Times New Roman"/>
          <w:b/>
          <w:sz w:val="24"/>
        </w:rPr>
        <w:t>Semana 7</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Apoyo en la recepción y procesamiento de requisiciones urgentes del período, y colaboración en la verificación de disponibilidad presupuestaria para compras en trámite.</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Diseño de las plantillas estandarizadas de solicitud de cotización, orden de compra y seguimiento de estatus, adaptadas a los requerimientos operativos del departamento.</w:t>
      </w:r>
    </w:p>
    <w:p>
      <w:pPr>
        <w:spacing w:before="480" w:after="480" w:line="360" w:lineRule="auto"/>
        <w:jc w:val="left"/>
      </w:pPr>
      <w:r>
        <w:rPr>
          <w:rFonts w:ascii="Times New Roman" w:hAnsi="Times New Roman"/>
          <w:b/>
          <w:sz w:val="24"/>
        </w:rPr>
        <w:t>Semana 8</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Seguimiento a las órdenes de compra en proceso y apoyo en la actualización de los registros de proveedores y expedientes de adquisiciones del período administrativo.</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Redacción del documento de propuesta de optimización procedimental, integrando el nuevo flujo, los formatos diseñados y las recomendaciones de mejora de control interno.</w:t>
      </w:r>
    </w:p>
    <w:p>
      <w:pPr>
        <w:spacing w:before="480" w:after="480" w:line="360" w:lineRule="auto"/>
        <w:jc w:val="left"/>
      </w:pPr>
      <w:r>
        <w:rPr>
          <w:rFonts w:ascii="Times New Roman" w:hAnsi="Times New Roman"/>
          <w:b/>
          <w:sz w:val="24"/>
        </w:rPr>
        <w:t>Semana 9</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Apoyo en el cierre administrativo del ciclo de compras del período y colaboración en el archivo ordenado de las órdenes de compra gestionadas durante la pasantía.</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Validación de la propuesta con el tutor industrial, incorporación de observaciones y ajustes al documento final de optimización procedimental para su presentación formal.</w:t>
      </w:r>
    </w:p>
    <w:p>
      <w:pPr>
        <w:spacing w:before="480" w:after="480" w:line="360" w:lineRule="auto"/>
        <w:jc w:val="left"/>
      </w:pPr>
      <w:r>
        <w:rPr>
          <w:rFonts w:ascii="Times New Roman" w:hAnsi="Times New Roman"/>
          <w:b/>
          <w:sz w:val="24"/>
        </w:rPr>
        <w:t>Semana 10</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Presentación formal de la propuesta de mejora ante la gerencia del departamento administrativo y firma de la carta de aprobación del tutor industrial.</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Consolidación y revisión final del informe académico de pasantías, incorporación de los anexos definitivos y preparación del documento para la entrega institucional.</w:t>
      </w:r>
    </w:p>
    <w:p>
      <w:pPr>
        <w:sectPr>
          <w:footerReference w:type="default" r:id="rId35"/>
          <w:type w:val="continuous"/>
          <w:pgSz w:w="12240" w:h="15840"/>
          <w:pgMar w:top="1701" w:right="1701" w:bottom="1701" w:left="2268" w:header="720" w:footer="720" w:gutter="0"/>
          <w:cols w:space="720"/>
          <w:titlePg/>
          <w:docGrid w:linePitch="360"/>
        </w:sectPr>
      </w:pPr>
    </w:p>
    <w:p>
      <w:pPr>
        <w:spacing w:after="480"/>
        <w:jc w:val="center"/>
      </w:pPr>
      <w:r>
        <w:rPr>
          <w:rFonts w:ascii="Times New Roman" w:hAnsi="Times New Roman"/>
          <w:b/>
          <w:sz w:val="24"/>
        </w:rPr>
        <w:t>CAPÍTULO V</w:t>
      </w:r>
    </w:p>
    <w:p>
      <w:bookmarkStart w:id="bm_cap5" w:name="bm_cap5"/>
      <w:pPr>
        <w:spacing w:before="480"/>
        <w:jc w:val="center"/>
      </w:pPr>
      <w:r>
        <w:rPr>
          <w:rFonts w:ascii="Times New Roman" w:hAnsi="Times New Roman"/>
          <w:b/>
          <w:sz w:val="24"/>
        </w:rPr>
        <w:t>CONCLUSIONES Y RECOMENDACIONES</w:t>
      </w:r>
      <w:bookmarkEnd w:id="bm_cap5"/>
    </w:p>
    <w:p>
      <w:pPr>
        <w:sectPr>
          <w:footerReference w:type="default" r:id="rId36"/>
          <w:pgSz w:w="12240" w:h="15840"/>
          <w:pgMar w:top="2835" w:right="1701" w:bottom="1701" w:left="2268" w:header="720" w:footer="720" w:gutter="0"/>
          <w:cols w:space="720"/>
          <w:titlePg/>
          <w:docGrid w:linePitch="360"/>
        </w:sectPr>
      </w:pPr>
    </w:p>
    <w:p>
      <w:bookmarkStart w:id="bm_cap5_concl" w:name="bm_cap5_concl"/>
      <w:pPr>
        <w:spacing w:before="480" w:after="480" w:line="360" w:lineRule="auto"/>
        <w:jc w:val="left"/>
      </w:pPr>
      <w:r>
        <w:rPr>
          <w:rFonts w:ascii="Times New Roman" w:hAnsi="Times New Roman"/>
          <w:b/>
          <w:sz w:val="24"/>
        </w:rPr>
        <w:t>Conclusiones</w:t>
      </w:r>
      <w:bookmarkEnd w:id="bm_cap5_concl"/>
    </w:p>
    <w:p>
      <w:pPr>
        <w:spacing w:line="360" w:lineRule="auto"/>
        <w:ind w:firstLine="709"/>
        <w:jc w:val="both"/>
      </w:pPr>
      <w:r>
        <w:rPr>
          <w:rFonts w:ascii="Times New Roman" w:hAnsi="Times New Roman"/>
          <w:sz w:val="24"/>
        </w:rPr>
        <w:t xml:space="preserve">1. </w:t>
      </w:r>
      <w:r>
        <w:rPr>
          <w:rFonts w:ascii="Times New Roman" w:hAnsi="Times New Roman"/>
          <w:sz w:val="24"/>
        </w:rPr>
        <w:t>Se diagnosticó que el proceso actual de procura carece de una ruta formalizada de procesamiento de solicitudes, lo que genera que las requisiciones no sigan un canal claro desde su origen hasta la orden de compra, prolongando los tiempos de respuesta y dificultando el seguimiento de cada adquisición.</w:t>
      </w:r>
    </w:p>
    <w:p>
      <w:pPr>
        <w:spacing w:line="360" w:lineRule="auto"/>
        <w:ind w:firstLine="709"/>
        <w:jc w:val="both"/>
      </w:pPr>
      <w:r>
        <w:rPr>
          <w:rFonts w:ascii="Times New Roman" w:hAnsi="Times New Roman"/>
          <w:sz w:val="24"/>
        </w:rPr>
        <w:t xml:space="preserve">2. </w:t>
      </w:r>
      <w:r>
        <w:rPr>
          <w:rFonts w:ascii="Times New Roman" w:hAnsi="Times New Roman"/>
          <w:sz w:val="24"/>
        </w:rPr>
        <w:t>Se identificaron como principales cuellos de botella la ausencia de formatos estandarizados de solicitud, la falta de niveles de autorización definidos por monto y la inexistencia de un mecanismo de seguimiento del estatus de cotizaciones, concentrando la carga operativa en pocos actores del proceso.</w:t>
      </w:r>
    </w:p>
    <w:p>
      <w:pPr>
        <w:spacing w:line="360" w:lineRule="auto"/>
        <w:ind w:firstLine="709"/>
        <w:jc w:val="both"/>
      </w:pPr>
      <w:r>
        <w:rPr>
          <w:rFonts w:ascii="Times New Roman" w:hAnsi="Times New Roman"/>
          <w:sz w:val="24"/>
        </w:rPr>
        <w:t xml:space="preserve">3. </w:t>
      </w:r>
      <w:r>
        <w:rPr>
          <w:rFonts w:ascii="Times New Roman" w:hAnsi="Times New Roman"/>
          <w:sz w:val="24"/>
        </w:rPr>
        <w:t>Se determinó que las causas organizativas de los retrasos en el ciclo de adquisición responden a la ausencia de procedimientos escritos, la dispersión de responsabilidades y la inexistencia de indicadores que permitan medir el desempeño del proceso de compras.</w:t>
      </w:r>
    </w:p>
    <w:p>
      <w:pPr>
        <w:spacing w:line="360" w:lineRule="auto"/>
        <w:ind w:firstLine="709"/>
        <w:jc w:val="both"/>
      </w:pPr>
      <w:r>
        <w:rPr>
          <w:rFonts w:ascii="Times New Roman" w:hAnsi="Times New Roman"/>
          <w:sz w:val="24"/>
        </w:rPr>
        <w:t xml:space="preserve">4. </w:t>
      </w:r>
      <w:r>
        <w:rPr>
          <w:rFonts w:ascii="Times New Roman" w:hAnsi="Times New Roman"/>
          <w:sz w:val="24"/>
        </w:rPr>
        <w:t>Se diseñó una propuesta de mejora procedimental que contempla un nuevo flujo de trabajo con puntos de control definidos, plantillas estandarizadas de cotización y orden de compra, y una matriz de autorización por monto, herramientas que en conjunto fortalecen el control interno y agilizar el ciclo de adquisición.</w:t>
      </w:r>
    </w:p>
    <w:p>
      <w:bookmarkStart w:id="bm_cap5_recom" w:name="bm_cap5_recom"/>
      <w:pPr>
        <w:spacing w:before="480" w:after="480" w:line="360" w:lineRule="auto"/>
        <w:jc w:val="left"/>
      </w:pPr>
      <w:r>
        <w:rPr>
          <w:rFonts w:ascii="Times New Roman" w:hAnsi="Times New Roman"/>
          <w:b/>
          <w:sz w:val="24"/>
        </w:rPr>
        <w:t>Recomendaciones</w:t>
      </w:r>
      <w:bookmarkEnd w:id="bm_cap5_recom"/>
    </w:p>
    <w:p>
      <w:pPr>
        <w:spacing w:line="360" w:lineRule="auto"/>
        <w:ind w:firstLine="709"/>
        <w:jc w:val="both"/>
      </w:pPr>
      <w:r>
        <w:rPr>
          <w:rFonts w:ascii="Times New Roman" w:hAnsi="Times New Roman"/>
          <w:sz w:val="24"/>
        </w:rPr>
        <w:t xml:space="preserve">1. </w:t>
      </w:r>
      <w:r>
        <w:rPr>
          <w:rFonts w:ascii="Times New Roman" w:hAnsi="Times New Roman"/>
          <w:sz w:val="24"/>
        </w:rPr>
        <w:t>Implementar el nuevo flujo de trabajo propuesto de forma gradual, comenzando por la formalización del canal de recepción de requisiciones y la adopción de las plantillas estandarizadas de solicitud de cotización y orden de compra.</w:t>
      </w:r>
    </w:p>
    <w:p>
      <w:pPr>
        <w:spacing w:line="360" w:lineRule="auto"/>
        <w:ind w:firstLine="709"/>
        <w:jc w:val="both"/>
      </w:pPr>
      <w:r>
        <w:rPr>
          <w:rFonts w:ascii="Times New Roman" w:hAnsi="Times New Roman"/>
          <w:sz w:val="24"/>
        </w:rPr>
        <w:t xml:space="preserve">2. </w:t>
      </w:r>
      <w:r>
        <w:rPr>
          <w:rFonts w:ascii="Times New Roman" w:hAnsi="Times New Roman"/>
          <w:sz w:val="24"/>
        </w:rPr>
        <w:t>Socializar el manual de procedimientos de procura con todo el personal involucrado en el ciclo de compras, garantizando que cada actor conozca sus responsabilidades y los tiempos máximos de respuesta establecidos para cada fase.</w:t>
      </w:r>
    </w:p>
    <w:p>
      <w:pPr>
        <w:spacing w:line="360" w:lineRule="auto"/>
        <w:ind w:firstLine="709"/>
        <w:jc w:val="both"/>
      </w:pPr>
      <w:r>
        <w:rPr>
          <w:rFonts w:ascii="Times New Roman" w:hAnsi="Times New Roman"/>
          <w:sz w:val="24"/>
        </w:rPr>
        <w:t xml:space="preserve">3. </w:t>
      </w:r>
      <w:r>
        <w:rPr>
          <w:rFonts w:ascii="Times New Roman" w:hAnsi="Times New Roman"/>
          <w:sz w:val="24"/>
        </w:rPr>
        <w:t>Establecer indicadores de gestión para el proceso de procura, tales como el tiempo promedio de ciclo de compra y el porcentaje de requisiciones tramitadas dentro del plazo, con seguimiento mensual por parte de la gerencia administrativa.</w:t>
      </w:r>
    </w:p>
    <w:p>
      <w:pPr>
        <w:spacing w:line="360" w:lineRule="auto"/>
        <w:ind w:firstLine="709"/>
        <w:jc w:val="both"/>
      </w:pPr>
      <w:r>
        <w:rPr>
          <w:rFonts w:ascii="Times New Roman" w:hAnsi="Times New Roman"/>
          <w:sz w:val="24"/>
        </w:rPr>
        <w:t xml:space="preserve">4. </w:t>
      </w:r>
      <w:r>
        <w:rPr>
          <w:rFonts w:ascii="Times New Roman" w:hAnsi="Times New Roman"/>
          <w:sz w:val="24"/>
        </w:rPr>
        <w:t>Revisar y actualizar el procedimiento optimizado al menos una vez al año, incorporando las lecciones aprendidas durante su ejecución y los cambios en las condiciones operativas o normativas de la organización.</w:t>
      </w:r>
    </w:p>
    <w:p>
      <w:pPr>
        <w:sectPr>
          <w:footerReference w:type="default" r:id="rId37"/>
          <w:type w:val="continuous"/>
          <w:pgSz w:w="12240" w:h="15840"/>
          <w:pgMar w:top="1701" w:right="1701" w:bottom="1701" w:left="2268" w:header="720" w:footer="720" w:gutter="0"/>
          <w:cols w:space="720"/>
          <w:titlePg/>
          <w:docGrid w:linePitch="360"/>
        </w:sectPr>
      </w:pPr>
    </w:p>
    <w:p>
      <w:bookmarkStart w:id="bm_referencias" w:name="bm_referencias"/>
      <w:pPr>
        <w:spacing w:after="480"/>
        <w:jc w:val="center"/>
      </w:pPr>
      <w:r>
        <w:rPr>
          <w:rFonts w:ascii="Times New Roman" w:hAnsi="Times New Roman"/>
          <w:b/>
          <w:sz w:val="24"/>
        </w:rPr>
        <w:t>REFERENCIAS</w:t>
      </w:r>
      <w:bookmarkEnd w:id="bm_referencias"/>
    </w:p>
    <w:p>
      <w:pPr>
        <w:sectPr>
          <w:footerReference w:type="default" r:id="rId38"/>
          <w:pgSz w:w="12240" w:h="15840"/>
          <w:pgMar w:top="2835" w:right="1701" w:bottom="1701" w:left="2268" w:header="720" w:footer="720" w:gutter="0"/>
          <w:cols w:space="720"/>
          <w:titlePg/>
          <w:docGrid w:linePitch="360"/>
        </w:sectPr>
      </w:pPr>
    </w:p>
    <w:p>
      <w:pPr>
        <w:spacing w:before="480" w:after="0"/>
      </w:pPr>
    </w:p>
    <w:p>
      <w:pPr>
        <w:spacing w:line="240" w:lineRule="auto" w:after="480" w:before="0"/>
        <w:ind w:left="425" w:hanging="425"/>
        <w:jc w:val="both"/>
      </w:pPr>
      <w:r>
        <w:rPr>
          <w:rFonts w:ascii="Times New Roman" w:hAnsi="Times New Roman"/>
          <w:sz w:val="24"/>
        </w:rPr>
        <w:t>Arias, F. (2012). El proyecto de investigación: Introducción a la metodología científica (6ta ed.). Episteme, Venezuela.</w:t>
      </w:r>
    </w:p>
    <w:p>
      <w:pPr>
        <w:spacing w:line="240" w:lineRule="auto" w:after="480" w:before="0"/>
        <w:ind w:left="425" w:hanging="425"/>
        <w:jc w:val="both"/>
      </w:pPr>
      <w:r>
        <w:rPr>
          <w:rFonts w:ascii="Times New Roman" w:hAnsi="Times New Roman"/>
          <w:sz w:val="24"/>
        </w:rPr>
        <w:t>Chiavenato, I. (2006). Introducción a la teoría general de la administración (7ma ed.). McGraw-Hill, México.</w:t>
      </w:r>
    </w:p>
    <w:p>
      <w:pPr>
        <w:spacing w:line="240" w:lineRule="auto" w:after="480" w:before="0"/>
        <w:ind w:left="425" w:hanging="425"/>
        <w:jc w:val="both"/>
      </w:pPr>
      <w:r>
        <w:rPr>
          <w:rFonts w:ascii="Times New Roman" w:hAnsi="Times New Roman"/>
          <w:sz w:val="24"/>
        </w:rPr>
        <w:t>Harrington, H. J. (1993). Mejoramiento de los procesos de la empresa. McGraw-Hill, Colombia.</w:t>
      </w:r>
    </w:p>
    <w:p>
      <w:pPr>
        <w:spacing w:line="240" w:lineRule="auto" w:after="480" w:before="0"/>
        <w:ind w:left="425" w:hanging="425"/>
        <w:jc w:val="both"/>
      </w:pPr>
      <w:r>
        <w:rPr>
          <w:rFonts w:ascii="Times New Roman" w:hAnsi="Times New Roman"/>
          <w:sz w:val="24"/>
        </w:rPr>
        <w:t>Mantilla, S. (2005). Control interno: Informe COSO (4ta ed.). Ecoe Ediciones, Colombia.</w:t>
      </w:r>
    </w:p>
    <w:p>
      <w:pPr>
        <w:spacing w:line="240" w:lineRule="auto" w:after="480" w:before="0"/>
        <w:ind w:left="425" w:hanging="425"/>
        <w:jc w:val="both"/>
      </w:pPr>
      <w:r>
        <w:rPr>
          <w:rFonts w:ascii="Times New Roman" w:hAnsi="Times New Roman"/>
          <w:sz w:val="24"/>
        </w:rPr>
        <w:t>Monterroso, E. (2002). El proceso de abastecimiento: El aprovisionamiento. Universidad Nacional de Luján, Argentina.</w:t>
      </w:r>
    </w:p>
    <w:p>
      <w:pPr>
        <w:spacing w:line="240" w:lineRule="auto" w:after="480" w:before="0"/>
        <w:ind w:left="425" w:hanging="425"/>
        <w:jc w:val="both"/>
      </w:pPr>
      <w:r>
        <w:rPr>
          <w:rFonts w:ascii="Times New Roman" w:hAnsi="Times New Roman"/>
          <w:sz w:val="24"/>
        </w:rPr>
        <w:t>Universidad Pedagógica Experimental Libertador. (2016). Manual de trabajos de grado de especialización y maestría y tesis doctorales (5ta ed.). FEDUPEL, Venezuela.</w:t>
      </w:r>
    </w:p>
    <w:p>
      <w:pPr>
        <w:sectPr>
          <w:footerReference w:type="default" r:id="rId39"/>
          <w:type w:val="continuous"/>
          <w:pgSz w:w="12240" w:h="15840"/>
          <w:pgMar w:top="1701" w:right="1701" w:bottom="1701" w:left="2268" w:header="720" w:footer="720" w:gutter="0"/>
          <w:cols w:space="720"/>
          <w:titlePg/>
          <w:docGrid w:linePitch="360"/>
        </w:sectPr>
      </w:pPr>
    </w:p>
    <w:p>
      <w:bookmarkStart w:id="bm_anexos" w:name="bm_anexos"/>
      <w:pPr>
        <w:spacing w:before="3600"/>
        <w:jc w:val="center"/>
      </w:pPr>
      <w:r>
        <w:rPr>
          <w:rFonts w:ascii="Times New Roman" w:hAnsi="Times New Roman"/>
          <w:b/>
          <w:sz w:val="32"/>
        </w:rPr>
        <w:t>ANEXOS</w:t>
      </w:r>
      <w:bookmarkEnd w:id="bm_anexos"/>
    </w:p>
    <w:p>
      <w:pPr>
        <w:sectPr>
          <w:footerReference w:type="default" r:id="rId40"/>
          <w:pgSz w:w="12240" w:h="15840"/>
          <w:pgMar w:top="2835" w:right="1701" w:bottom="1701" w:left="2268" w:header="720" w:footer="720" w:gutter="0"/>
          <w:cols w:space="720"/>
          <w:titlePg/>
          <w:docGrid w:linePitch="360"/>
        </w:sectPr>
      </w:pPr>
    </w:p>
    <w:p>
      <w:bookmarkStart w:id="bm_anexoA" w:name="bm_anexoA"/>
      <w:pPr>
        <w:spacing w:before="0" w:after="480"/>
        <w:jc w:val="center"/>
      </w:pPr>
      <w:bookmarkEnd w:id="bm_anexoA"/>
      <w:r>
        <w:rPr>
          <w:rFonts w:ascii="Times New Roman" w:hAnsi="Times New Roman"/>
          <w:b/>
          <w:sz w:val="24"/>
        </w:rPr>
        <w:t>ANEXO A</w:t>
      </w:r>
    </w:p>
    <w:p>
      <w:pPr>
        <w:spacing w:before="240" w:after="480"/>
        <w:jc w:val="center"/>
      </w:pPr>
      <w:r>
        <w:rPr>
          <w:rFonts w:ascii="Times New Roman" w:hAnsi="Times New Roman"/>
          <w:b/>
          <w:sz w:val="24"/>
        </w:rPr>
        <w:t>[Aquí va la descripción del Anexo A]</w:t>
      </w:r>
    </w:p>
    <w:p>
      <w:pPr>
        <w:jc w:val="center"/>
      </w:pPr>
      <w:r>
        <w:rPr>
          <w:rFonts w:ascii="Times New Roman" w:hAnsi="Times New Roman"/>
          <w:i/>
          <w:sz w:val="20"/>
        </w:rPr>
        <w:t>(Contenido elaborado por el estudiante)</w:t>
      </w:r>
    </w:p>
    <w:p>
      <w:pPr>
        <w:sectPr>
          <w:footerReference w:type="default" r:id="rId41"/>
          <w:pgSz w:w="12240" w:h="15840"/>
          <w:pgMar w:top="2835" w:right="1701" w:bottom="1701" w:left="2268" w:header="720" w:footer="720" w:gutter="0"/>
          <w:cols w:space="720"/>
          <w:titlePg/>
          <w:docGrid w:linePitch="360"/>
        </w:sectPr>
      </w:pPr>
    </w:p>
    <w:p>
      <w:bookmarkStart w:id="bm_anexoB" w:name="bm_anexoB"/>
      <w:pPr>
        <w:spacing w:before="0" w:after="480"/>
        <w:jc w:val="center"/>
      </w:pPr>
      <w:bookmarkEnd w:id="bm_anexoB"/>
      <w:r>
        <w:rPr>
          <w:rFonts w:ascii="Times New Roman" w:hAnsi="Times New Roman"/>
          <w:b/>
          <w:sz w:val="24"/>
        </w:rPr>
        <w:t>ANEXO B</w:t>
      </w:r>
    </w:p>
    <w:p>
      <w:pPr>
        <w:spacing w:before="240" w:after="480"/>
        <w:jc w:val="center"/>
      </w:pPr>
      <w:r>
        <w:rPr>
          <w:rFonts w:ascii="Times New Roman" w:hAnsi="Times New Roman"/>
          <w:b/>
          <w:sz w:val="24"/>
        </w:rPr>
        <w:t>[Aquí va la descripción del Anexo B]</w:t>
      </w:r>
    </w:p>
    <w:p>
      <w:pPr>
        <w:jc w:val="center"/>
      </w:pPr>
      <w:r>
        <w:rPr>
          <w:rFonts w:ascii="Times New Roman" w:hAnsi="Times New Roman"/>
          <w:i/>
          <w:sz w:val="20"/>
        </w:rPr>
        <w:t>(Contenido elaborado por el estudiante)</w:t>
      </w:r>
    </w:p>
    <w:p>
      <w:pPr>
        <w:sectPr>
          <w:footerReference w:type="default" r:id="rId42"/>
          <w:pgSz w:w="12240" w:h="15840"/>
          <w:pgMar w:top="2835" w:right="1701" w:bottom="1701" w:left="2268" w:header="720" w:footer="720" w:gutter="0"/>
          <w:cols w:space="720"/>
          <w:titlePg/>
          <w:docGrid w:linePitch="360"/>
        </w:sectPr>
      </w:pPr>
    </w:p>
    <w:p>
      <w:bookmarkStart w:id="bm_anexoC" w:name="bm_anexoC"/>
      <w:pPr>
        <w:spacing w:before="0" w:after="480"/>
        <w:jc w:val="center"/>
      </w:pPr>
      <w:bookmarkEnd w:id="bm_anexoC"/>
      <w:r>
        <w:rPr>
          <w:rFonts w:ascii="Times New Roman" w:hAnsi="Times New Roman"/>
          <w:b/>
          <w:sz w:val="24"/>
        </w:rPr>
        <w:t>ANEXO C</w:t>
      </w:r>
    </w:p>
    <w:p>
      <w:pPr>
        <w:spacing w:before="240" w:after="480"/>
        <w:jc w:val="center"/>
      </w:pPr>
      <w:r>
        <w:rPr>
          <w:rFonts w:ascii="Times New Roman" w:hAnsi="Times New Roman"/>
          <w:b/>
          <w:sz w:val="24"/>
        </w:rPr>
        <w:t>[Aquí va la descripción del Anexo C]</w:t>
      </w:r>
    </w:p>
    <w:p>
      <w:pPr>
        <w:jc w:val="center"/>
      </w:pPr>
      <w:r>
        <w:rPr>
          <w:rFonts w:ascii="Times New Roman" w:hAnsi="Times New Roman"/>
          <w:i/>
          <w:sz w:val="20"/>
        </w:rPr>
        <w:t>(Contenido elaborado por el estudiante)</w:t>
      </w:r>
    </w:p>
    <w:sectPr w:rsidR="00FC693F" w:rsidRPr="0006063C" w:rsidSect="00034616">
      <w:footerReference w:type="default" r:id="rId43"/>
      <w:pgSz w:w="12240" w:h="15840"/>
      <w:pgMar w:top="2835" w:right="1701" w:bottom="1701" w:left="2268"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1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1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3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3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3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0"/>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footer" Target="footer1.xml"/><Relationship Id="rId13" Type="http://schemas.openxmlformats.org/officeDocument/2006/relationships/footer" Target="footer2.xml"/><Relationship Id="rId14" Type="http://schemas.openxmlformats.org/officeDocument/2006/relationships/footer" Target="footer3.xml"/><Relationship Id="rId15" Type="http://schemas.openxmlformats.org/officeDocument/2006/relationships/footer" Target="footer4.xml"/><Relationship Id="rId16" Type="http://schemas.openxmlformats.org/officeDocument/2006/relationships/footer" Target="footer5.xml"/><Relationship Id="rId17" Type="http://schemas.openxmlformats.org/officeDocument/2006/relationships/footer" Target="footer6.xml"/><Relationship Id="rId18" Type="http://schemas.openxmlformats.org/officeDocument/2006/relationships/footer" Target="footer7.xml"/><Relationship Id="rId19" Type="http://schemas.openxmlformats.org/officeDocument/2006/relationships/footer" Target="footer8.xml"/><Relationship Id="rId20" Type="http://schemas.openxmlformats.org/officeDocument/2006/relationships/footer" Target="footer9.xml"/><Relationship Id="rId21" Type="http://schemas.openxmlformats.org/officeDocument/2006/relationships/footer" Target="footer10.xml"/><Relationship Id="rId22" Type="http://schemas.openxmlformats.org/officeDocument/2006/relationships/footer" Target="footer11.xml"/><Relationship Id="rId23" Type="http://schemas.openxmlformats.org/officeDocument/2006/relationships/footer" Target="footer12.xml"/><Relationship Id="rId24" Type="http://schemas.openxmlformats.org/officeDocument/2006/relationships/footer" Target="footer13.xml"/><Relationship Id="rId25" Type="http://schemas.openxmlformats.org/officeDocument/2006/relationships/footer" Target="footer14.xml"/><Relationship Id="rId26" Type="http://schemas.openxmlformats.org/officeDocument/2006/relationships/footer" Target="footer15.xml"/><Relationship Id="rId27" Type="http://schemas.openxmlformats.org/officeDocument/2006/relationships/footer" Target="footer16.xml"/><Relationship Id="rId28" Type="http://schemas.openxmlformats.org/officeDocument/2006/relationships/footer" Target="footer17.xml"/><Relationship Id="rId29" Type="http://schemas.openxmlformats.org/officeDocument/2006/relationships/footer" Target="footer18.xml"/><Relationship Id="rId30" Type="http://schemas.openxmlformats.org/officeDocument/2006/relationships/footer" Target="footer19.xml"/><Relationship Id="rId31" Type="http://schemas.openxmlformats.org/officeDocument/2006/relationships/footer" Target="footer20.xml"/><Relationship Id="rId32" Type="http://schemas.openxmlformats.org/officeDocument/2006/relationships/footer" Target="footer21.xml"/><Relationship Id="rId33" Type="http://schemas.openxmlformats.org/officeDocument/2006/relationships/footer" Target="footer22.xml"/><Relationship Id="rId34" Type="http://schemas.openxmlformats.org/officeDocument/2006/relationships/footer" Target="footer23.xml"/><Relationship Id="rId35" Type="http://schemas.openxmlformats.org/officeDocument/2006/relationships/footer" Target="footer24.xml"/><Relationship Id="rId36" Type="http://schemas.openxmlformats.org/officeDocument/2006/relationships/footer" Target="footer25.xml"/><Relationship Id="rId37" Type="http://schemas.openxmlformats.org/officeDocument/2006/relationships/footer" Target="footer26.xml"/><Relationship Id="rId38" Type="http://schemas.openxmlformats.org/officeDocument/2006/relationships/footer" Target="footer27.xml"/><Relationship Id="rId39" Type="http://schemas.openxmlformats.org/officeDocument/2006/relationships/footer" Target="footer28.xml"/><Relationship Id="rId40" Type="http://schemas.openxmlformats.org/officeDocument/2006/relationships/footer" Target="footer29.xml"/><Relationship Id="rId41" Type="http://schemas.openxmlformats.org/officeDocument/2006/relationships/footer" Target="footer30.xml"/><Relationship Id="rId42" Type="http://schemas.openxmlformats.org/officeDocument/2006/relationships/footer" Target="footer31.xml"/><Relationship Id="rId43" Type="http://schemas.openxmlformats.org/officeDocument/2006/relationships/footer" Target="footer3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