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158"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579"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Lenny Mata</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Carlos Mendoza</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1272"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INDUSTRIAL</w:t>
      </w:r>
    </w:p>
    <w:p>
      <w:pPr>
        <w:spacing w:line="360" w:lineRule="auto"/>
        <w:ind w:firstLine="0"/>
        <w:jc w:val="both"/>
      </w:pPr>
      <w:r>
        <w:rPr>
          <w:rFonts w:ascii="Times New Roman" w:hAnsi="Times New Roman"/>
          <w:sz w:val="24"/>
        </w:rPr>
        <w:t>En mi carácter de tutor industrial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
    <w:p/>
    <w:p/>
    <w:p/>
    <w:p>
      <w:pPr>
        <w:tabs>
          <w:tab w:pos="10205" w:val="left"/>
        </w:tabs>
        <w:jc w:val="left"/>
      </w:pPr>
      <w:r>
        <w:rPr>
          <w:rFonts w:ascii="Times New Roman" w:hAnsi="Times New Roman"/>
          <w:sz w:val="24"/>
        </w:rPr>
        <w:t>Apellidos y Nombres</w:t>
      </w:r>
      <w:r>
        <w:rPr>
          <w:rFonts w:ascii="Times New Roman" w:hAnsi="Times New Roman"/>
          <w:sz w:val="24"/>
        </w:rPr>
        <w:tab/>
      </w:r>
      <w:r>
        <w:rPr>
          <w:rFonts w:ascii="Times New Roman" w:hAnsi="Times New Roman"/>
          <w:sz w:val="24"/>
        </w:rPr>
        <w:t>C.I.: _______________</w:t>
      </w:r>
    </w:p>
    <w:p>
      <w:pPr>
        <w:sectPr>
          <w:footerReference w:type="default" r:id="rId15"/>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ACADÉMICO</w:t>
      </w:r>
    </w:p>
    <w:p>
      <w:pPr>
        <w:spacing w:line="360" w:lineRule="auto"/>
        <w:ind w:firstLine="0"/>
        <w:jc w:val="both"/>
      </w:pPr>
      <w:r>
        <w:rPr>
          <w:rFonts w:ascii="Times New Roman" w:hAnsi="Times New Roman"/>
          <w:sz w:val="24"/>
        </w:rPr>
        <w:t>En mi carácter de tutor académico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
    <w:p/>
    <w:p/>
    <w:p/>
    <w:p>
      <w:pPr>
        <w:tabs>
          <w:tab w:pos="10205" w:val="left"/>
        </w:tabs>
        <w:jc w:val="left"/>
      </w:pPr>
      <w:r>
        <w:rPr>
          <w:rFonts w:ascii="Times New Roman" w:hAnsi="Times New Roman"/>
          <w:sz w:val="24"/>
        </w:rPr>
        <w:t>Apellidos y Nombres</w:t>
      </w:r>
      <w:r>
        <w:rPr>
          <w:rFonts w:ascii="Times New Roman" w:hAnsi="Times New Roman"/>
          <w:sz w:val="24"/>
        </w:rPr>
        <w:tab/>
      </w:r>
      <w:r>
        <w:rPr>
          <w:rFonts w:ascii="Times New Roman" w:hAnsi="Times New Roman"/>
          <w:sz w:val="24"/>
        </w:rPr>
        <w:t>C.I.: _______________</w:t>
      </w:r>
    </w:p>
    <w:p>
      <w:pPr>
        <w:sectPr>
          <w:footerReference w:type="default" r:id="rId16"/>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7"/>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8"/>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19"/>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0"/>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1"/>
          <w:pgSz w:w="12240" w:h="15840"/>
          <w:pgMar w:top="1701" w:right="1701" w:bottom="1701" w:left="2268" w:header="720" w:footer="720" w:gutter="0"/>
          <w:cols w:space="720"/>
          <w:titlePg/>
          <w:docGrid w:linePitch="360"/>
        </w:sectPr>
      </w:pPr>
    </w:p>
    <w:p>
      <w:pPr>
        <w:sectPr>
          <w:footerReference w:type="default" r:id="rId22"/>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3"/>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Administración.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4"/>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5"/>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sectPr>
          <w:footerReference w:type="default" r:id="rId26"/>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27"/>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evaluación del control administrativo aplicado a la gestión de solicitudes de servicios de telecomunicaciones en la empresa Ingeniería de Telecomunicaciones, C.A. (IDETEL). La investigación se enmarca en la modalidad de proyecto factible apoyado en un diagnóstico de campo. Durante el estudio se identificó la ausencia de procedimientos formalizados para el seguimiento de solicitudes de afiliación e incidencias, la falta de formatos estandarizados de registro y la inexistencia de indicadores de gestión que permitan evaluar el desempeño del proceso de atención al suscriptor. La propuesta contempla un nuevo flujo de trabajo estandarizado, formatos unificados de control y un conjunto de indicadores de gestión orientados a fortalecer el control administrativo y optimizar la calidad del servicio prestado.</w:t>
      </w:r>
    </w:p>
    <w:p/>
    <w:p>
      <w:pPr>
        <w:ind w:firstLine="709"/>
      </w:pPr>
      <w:r>
        <w:rPr>
          <w:b/>
        </w:rPr>
        <w:t xml:space="preserve">Palabras claves: </w:t>
      </w:r>
      <w:r>
        <w:t>control administrativo, solicitudes de servicios, telecomunicaciones, proyecto factible, pasantías.</w:t>
      </w:r>
    </w:p>
    <w:p>
      <w:pPr>
        <w:sectPr>
          <w:footerReference w:type="default" r:id="rId28"/>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29"/>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evaluar el control administrativo aplicado a la gestión de solicitudes de servicios de telecomunicaciones en la empresa Ingeniería de Telecomunicaciones, C.A. (IDETEL), con sede en la ciudad de El Tigre, estado Anzoátegui. El estudio parte del diagnóstico de las deficiencias presentes en el proceso de atención al suscriptor para proponer mejoras procedimentales que optimicen el control interno del departamento. El informe se organiza en cinco capítulos: el Capítulo I presenta la realidad organizacional de IDETEL;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30"/>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1"/>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2. </w:t>
      </w:r>
      <w:r>
        <w:rPr>
          <w:rFonts w:ascii="Times New Roman" w:hAnsi="Times New Roman"/>
          <w:sz w:val="24"/>
        </w:rPr>
        <w:t>Representar total o parcialmente cualquier producto comercial relacionado con sus operaciones mercantiles.</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125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Ingeniería de Telecomunicaciones, C.A.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Ingeniería de Telecomunicaciones, C.A. está conformada por personal multidisciplinario distribuido en las distintas áreas operativas y administrativas, con un total de ocho (8) trabajadores. La pasantía profesional se desarrolló en el Departamento de Administración, que dado el reducido tamaño del equipo tras un proceso de reestructuración de personal, opera con una estructura simplificada. Las funciones administrativas se concentran en dos (2) cargos activos: Supervisión de Administración, Contabilidad y Tributos, y Analista de Compras y Facturación, además del Analista de Atención al Cliente.</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47342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147342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Ingeniería de Telecomunicaciones, C.A.</w:t>
      </w:r>
      <w:bookmarkEnd w:id="bm_grafico2"/>
    </w:p>
    <w:p>
      <w:pPr>
        <w:spacing w:before="480"/>
        <w:jc w:val="center"/>
      </w:pPr>
      <w:r>
        <w:drawing>
          <wp:inline xmlns:a="http://schemas.openxmlformats.org/drawingml/2006/main" xmlns:pic="http://schemas.openxmlformats.org/drawingml/2006/picture">
            <wp:extent cx="4320000" cy="2680292"/>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4320000" cy="2680292"/>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del Departamento de Administración.</w:t>
      </w:r>
      <w:bookmarkEnd w:id="bm_grafico3"/>
    </w:p>
    <w:p>
      <w:pPr>
        <w:sectPr>
          <w:footerReference w:type="default" r:id="rId32"/>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3"/>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contexto global actual, la gestión eficiente de los procesos administrativos constituye un factor determinante para la competitividad y sostenibilidad de las organizaciones del sector tecnológico. Las empresas proveedoras de servicios de telecomunicaciones enfrentan, de manera creciente, la necesidad de articular sus procedimientos internos con las exigencias de un mercado que demanda respuestas ágiles, trazabilidad en la atención al cliente y control riguroso sobre el ciclo de vida de cada solicitud de servicio.</w:t>
      </w:r>
    </w:p>
    <w:p>
      <w:pPr>
        <w:spacing w:line="360" w:lineRule="auto" w:after="0" w:before="0"/>
        <w:ind w:firstLine="709"/>
        <w:jc w:val="both"/>
      </w:pPr>
      <w:r>
        <w:rPr>
          <w:rFonts w:ascii="Times New Roman" w:hAnsi="Times New Roman"/>
          <w:i w:val="0"/>
          <w:sz w:val="24"/>
        </w:rPr>
        <w:t>A nivel nacional, el sector de telecomunicaciones en Venezuela ha experimentado una expansión sostenida, impulsada por la demanda de conectividad tanto en el segmento PyME como en el sector industrial y petrolero. Sin embargo, esta expansión ha puesto en evidencia debilidades estructurales en los sistemas de control administrativo de diversas organizaciones del ramo, particularmente en la gestión de solicitudes de servicio, donde la ausencia de procesos estandarizados genera retrasos, duplicidad de funciones y dificultades en la trazabilidad operativa.</w:t>
      </w:r>
    </w:p>
    <w:p>
      <w:pPr>
        <w:spacing w:line="360" w:lineRule="auto" w:after="0" w:before="0"/>
        <w:ind w:firstLine="709"/>
        <w:jc w:val="both"/>
      </w:pPr>
      <w:r>
        <w:rPr>
          <w:rFonts w:ascii="Times New Roman" w:hAnsi="Times New Roman"/>
          <w:i w:val="0"/>
          <w:sz w:val="24"/>
        </w:rPr>
        <w:t>En el caso específico de Ingeniería de Telecomunicaciones, C.A. (IDETEL), empresa con más de cuatro décadas de trayectoria en la región oriental del país, se identificó durante el período de pasantías que el Departamento de Administración presenta deficiencias en el control administrativo aplicado a la gestión de solicitudes de servicios. Concretamente, se observó que los procesos de afiliación de nuevos suscriptores e incidencias reportadas no cuentan con un sistema de seguimiento unificado que permita verificar en tiempo real el estado de cada solicitud, lo que genera inconsistencias entre los departamentos involucrados.</w:t>
      </w:r>
    </w:p>
    <w:p>
      <w:pPr>
        <w:spacing w:line="360" w:lineRule="auto" w:after="0" w:before="0"/>
        <w:ind w:firstLine="709"/>
        <w:jc w:val="both"/>
      </w:pPr>
      <w:r>
        <w:rPr>
          <w:rFonts w:ascii="Times New Roman" w:hAnsi="Times New Roman"/>
          <w:i w:val="0"/>
          <w:sz w:val="24"/>
        </w:rPr>
        <w:t>Las principales manifestaciones de la problemática identificada son las siguientes: (a) ausencia de registros estandarizados para el control de solicitudes de instalación y atención de incidencias, (b) comunicación fragmentada entre el área comercial, el NOC y las cuadrillas técnicas de campo, (c) retrasos en la actualización del sistema de tickets que dificultan el cierre oportuno de los casos, y (d) carencia de indicadores de gestión que permitan evaluar el desempeño del proceso de atención al suscriptor.</w:t>
      </w:r>
    </w:p>
    <w:p>
      <w:pPr>
        <w:spacing w:line="360" w:lineRule="auto" w:after="0" w:before="0"/>
        <w:ind w:firstLine="709"/>
        <w:jc w:val="both"/>
      </w:pPr>
      <w:r>
        <w:rPr>
          <w:rFonts w:ascii="Times New Roman" w:hAnsi="Times New Roman"/>
          <w:i w:val="0"/>
          <w:sz w:val="24"/>
        </w:rPr>
        <w:t>Las causas de esta situación se atribuyen principalmente a la falta de un protocolo administrativo formal que regule el flujo de las solicitudes desde su recepción hasta su cierre definitivo, así como a la dependencia de canales informales de comunicación entre las áreas involucradas. Como consecuencia, se generan reprocesos, insatisfacción en los clientes y sobrecarga operativa en los supervisores, comprometiendo la calidad del servicio prestado y la imagen institucional de la organización.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la empresa Ingeniería de Telecomunicaciones, C.A., con el propósito de identificar las debilidades del proceso y proponer mejoras que optimicen la atención al suscriptor desde el Departamento de Administración.</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Describir los procesos administrativos actuales aplicados a la gestión de solicitudes de afiliación de nuevos suscriptores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el sistema de control administrativo utilizado para el seguimiento de solicitudes de servicios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en el control administrativo sobre la calidad del servicio prestado a los suscriptores de la empresa.</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de solicitudes de servicios que contribuyan a la optimización operativa y a la satisfacción del cliente en Ingeniería de Telecomunicaciones, C.A.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evaluación del control administrativo: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Describir los procesos administrativos actuales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revisión documental de los procedimientos internos.</w:t>
            </w:r>
          </w:p>
        </w:tc>
        <w:tc>
          <w:tcPr>
            <w:tcW w:w="1644" w:type="dxa"/>
            <w:shd w:val="clear" w:color="auto" w:fill="FFFFFF"/>
          </w:tcPr>
          <w:p>
            <w:pPr>
              <w:spacing w:before="60" w:after="60" w:line="240" w:lineRule="auto"/>
              <w:jc w:val="both"/>
            </w:pPr>
            <w:r>
              <w:rPr>
                <w:rFonts w:ascii="Times New Roman" w:hAnsi="Times New Roman"/>
                <w:b w:val="0"/>
                <w:color w:val="000000"/>
                <w:sz w:val="20"/>
              </w:rPr>
              <w:t>Guía de observación, documentos de la empresa, PC.</w:t>
            </w:r>
          </w:p>
        </w:tc>
        <w:tc>
          <w:tcPr>
            <w:tcW w:w="1644" w:type="dxa"/>
            <w:shd w:val="clear" w:color="auto" w:fill="FFFFFF"/>
          </w:tcPr>
          <w:p>
            <w:pPr>
              <w:spacing w:before="60" w:after="60" w:line="240" w:lineRule="auto"/>
              <w:jc w:val="both"/>
            </w:pPr>
            <w:r>
              <w:rPr>
                <w:rFonts w:ascii="Times New Roman" w:hAnsi="Times New Roman"/>
                <w:b w:val="0"/>
                <w:color w:val="000000"/>
                <w:sz w:val="20"/>
              </w:rPr>
              <w:t>Mapeo del flujo actual de solicitudes.</w:t>
            </w:r>
          </w:p>
        </w:tc>
        <w:tc>
          <w:tcPr>
            <w:tcW w:w="1695" w:type="dxa"/>
            <w:shd w:val="clear" w:color="auto" w:fill="FFFFFF"/>
          </w:tcPr>
          <w:p>
            <w:pPr>
              <w:spacing w:before="60" w:after="60" w:line="240" w:lineRule="auto"/>
              <w:jc w:val="both"/>
            </w:pPr>
            <w:r>
              <w:rPr>
                <w:rFonts w:ascii="Times New Roman" w:hAnsi="Times New Roman"/>
                <w:b w:val="0"/>
                <w:color w:val="000000"/>
                <w:sz w:val="20"/>
              </w:rPr>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en 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Entrevistas al personal administrativo y revisión de registros históricos.</w:t>
            </w:r>
          </w:p>
        </w:tc>
        <w:tc>
          <w:tcPr>
            <w:tcW w:w="1644" w:type="dxa"/>
            <w:shd w:val="clear" w:color="auto" w:fill="D9E1F2"/>
          </w:tcPr>
          <w:p>
            <w:pPr>
              <w:spacing w:before="60" w:after="60" w:line="240" w:lineRule="auto"/>
              <w:jc w:val="both"/>
            </w:pPr>
            <w:r>
              <w:rPr>
                <w:rFonts w:ascii="Times New Roman" w:hAnsi="Times New Roman"/>
                <w:b w:val="0"/>
                <w:color w:val="000000"/>
                <w:sz w:val="20"/>
              </w:rPr>
              <w:t>Guía de entrevista, históricos de tickets, PC.</w:t>
            </w:r>
          </w:p>
        </w:tc>
        <w:tc>
          <w:tcPr>
            <w:tcW w:w="1644" w:type="dxa"/>
            <w:shd w:val="clear" w:color="auto" w:fill="D9E1F2"/>
          </w:tcPr>
          <w:p>
            <w:pPr>
              <w:spacing w:before="60" w:after="60" w:line="240" w:lineRule="auto"/>
              <w:jc w:val="both"/>
            </w:pPr>
            <w:r>
              <w:rPr>
                <w:rFonts w:ascii="Times New Roman" w:hAnsi="Times New Roman"/>
                <w:b w:val="0"/>
                <w:color w:val="000000"/>
                <w:sz w:val="20"/>
              </w:rPr>
              <w:t>Matriz de deficiencias identificadas.</w:t>
            </w:r>
          </w:p>
        </w:tc>
        <w:tc>
          <w:tcPr>
            <w:tcW w:w="1695" w:type="dxa"/>
            <w:shd w:val="clear" w:color="auto" w:fill="D9E1F2"/>
          </w:tcPr>
          <w:p>
            <w:pPr>
              <w:spacing w:before="60" w:after="60" w:line="240" w:lineRule="auto"/>
              <w:jc w:val="both"/>
            </w:pPr>
            <w:r>
              <w:rPr>
                <w:rFonts w:ascii="Times New Roman" w:hAnsi="Times New Roman"/>
                <w:b w:val="0"/>
                <w:color w:val="000000"/>
                <w:sz w:val="20"/>
              </w:rPr>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el impacto de las debilidades en la calidad del servicio.</w:t>
            </w:r>
          </w:p>
        </w:tc>
        <w:tc>
          <w:tcPr>
            <w:tcW w:w="1644" w:type="dxa"/>
            <w:shd w:val="clear" w:color="auto" w:fill="FFFFFF"/>
          </w:tcPr>
          <w:p>
            <w:pPr>
              <w:spacing w:before="60" w:after="60" w:line="240" w:lineRule="auto"/>
              <w:jc w:val="both"/>
            </w:pPr>
            <w:r>
              <w:rPr>
                <w:rFonts w:ascii="Times New Roman" w:hAnsi="Times New Roman"/>
                <w:b w:val="0"/>
                <w:color w:val="000000"/>
                <w:sz w:val="20"/>
              </w:rPr>
              <w:t>Análisis de tiempos de respuesta y correlación con quejas de suscriptores.</w:t>
            </w:r>
          </w:p>
        </w:tc>
        <w:tc>
          <w:tcPr>
            <w:tcW w:w="1644" w:type="dxa"/>
            <w:shd w:val="clear" w:color="auto" w:fill="FFFFFF"/>
          </w:tcPr>
          <w:p>
            <w:pPr>
              <w:spacing w:before="60" w:after="60" w:line="240" w:lineRule="auto"/>
              <w:jc w:val="both"/>
            </w:pPr>
            <w:r>
              <w:rPr>
                <w:rFonts w:ascii="Times New Roman" w:hAnsi="Times New Roman"/>
                <w:b w:val="0"/>
                <w:color w:val="000000"/>
                <w:sz w:val="20"/>
              </w:rPr>
              <w:t>Base de datos de incidencias, hojas de cálculo.</w:t>
            </w:r>
          </w:p>
        </w:tc>
        <w:tc>
          <w:tcPr>
            <w:tcW w:w="1644" w:type="dxa"/>
            <w:shd w:val="clear" w:color="auto" w:fill="FFFFFF"/>
          </w:tcPr>
          <w:p>
            <w:pPr>
              <w:spacing w:before="60" w:after="60" w:line="240" w:lineRule="auto"/>
              <w:jc w:val="both"/>
            </w:pPr>
            <w:r>
              <w:rPr>
                <w:rFonts w:ascii="Times New Roman" w:hAnsi="Times New Roman"/>
                <w:b w:val="0"/>
                <w:color w:val="000000"/>
                <w:sz w:val="20"/>
              </w:rPr>
              <w:t>Informe analítico de impacto.</w:t>
            </w:r>
          </w:p>
        </w:tc>
        <w:tc>
          <w:tcPr>
            <w:tcW w:w="1695" w:type="dxa"/>
            <w:shd w:val="clear" w:color="auto" w:fill="FFFFFF"/>
          </w:tcPr>
          <w:p>
            <w:pPr>
              <w:spacing w:before="60" w:after="60" w:line="240" w:lineRule="auto"/>
              <w:jc w:val="both"/>
            </w:pPr>
            <w:r>
              <w:rPr>
                <w:rFonts w:ascii="Times New Roman" w:hAnsi="Times New Roman"/>
                <w:b w:val="0"/>
                <w:color w:val="000000"/>
                <w:sz w:val="20"/>
              </w:rPr>
            </w:r>
          </w:p>
        </w:tc>
      </w:tr>
      <w:tr>
        <w:tc>
          <w:tcPr>
            <w:tcW w:w="1644"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w:t>
            </w:r>
          </w:p>
        </w:tc>
        <w:tc>
          <w:tcPr>
            <w:tcW w:w="1644" w:type="dxa"/>
            <w:shd w:val="clear" w:color="auto" w:fill="D9E1F2"/>
          </w:tcPr>
          <w:p>
            <w:pPr>
              <w:spacing w:before="60" w:after="60" w:line="240" w:lineRule="auto"/>
              <w:jc w:val="both"/>
            </w:pPr>
            <w:r>
              <w:rPr>
                <w:rFonts w:ascii="Times New Roman" w:hAnsi="Times New Roman"/>
                <w:b w:val="0"/>
                <w:color w:val="000000"/>
                <w:sz w:val="20"/>
              </w:rPr>
              <w:t>Diseño de procedimientos estandarizados y formatos de control.</w:t>
            </w:r>
          </w:p>
        </w:tc>
        <w:tc>
          <w:tcPr>
            <w:tcW w:w="1644" w:type="dxa"/>
            <w:shd w:val="clear" w:color="auto" w:fill="D9E1F2"/>
          </w:tcPr>
          <w:p>
            <w:pPr>
              <w:spacing w:before="60" w:after="60" w:line="240" w:lineRule="auto"/>
              <w:jc w:val="both"/>
            </w:pPr>
            <w:r>
              <w:rPr>
                <w:rFonts w:ascii="Times New Roman" w:hAnsi="Times New Roman"/>
                <w:b w:val="0"/>
                <w:color w:val="000000"/>
                <w:sz w:val="20"/>
              </w:rPr>
              <w:t>Procesador de texto, normativas internas.</w:t>
            </w:r>
          </w:p>
        </w:tc>
        <w:tc>
          <w:tcPr>
            <w:tcW w:w="1644" w:type="dxa"/>
            <w:shd w:val="clear" w:color="auto" w:fill="D9E1F2"/>
          </w:tcPr>
          <w:p>
            <w:pPr>
              <w:spacing w:before="60" w:after="60" w:line="240" w:lineRule="auto"/>
              <w:jc w:val="both"/>
            </w:pPr>
            <w:r>
              <w:rPr>
                <w:rFonts w:ascii="Times New Roman" w:hAnsi="Times New Roman"/>
                <w:b w:val="0"/>
                <w:color w:val="000000"/>
                <w:sz w:val="20"/>
              </w:rPr>
              <w:t>Propuesta de mejora procedimental formulada.</w:t>
            </w:r>
          </w:p>
        </w:tc>
        <w:tc>
          <w:tcPr>
            <w:tcW w:w="1695" w:type="dxa"/>
            <w:shd w:val="clear" w:color="auto" w:fill="D9E1F2"/>
          </w:tcPr>
          <w:p>
            <w:pPr>
              <w:spacing w:before="60" w:after="60" w:line="240" w:lineRule="auto"/>
              <w:jc w:val="both"/>
            </w:pPr>
            <w:r>
              <w:rPr>
                <w:rFonts w:ascii="Times New Roman" w:hAnsi="Times New Roman"/>
                <w:b w:val="0"/>
                <w:color w:val="000000"/>
                <w:sz w:val="20"/>
              </w:rPr>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propuesta de mejora,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y reconocimiento del área de trabajo.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Levantamiento de información sobre procesos administrativos.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Observación y análisis del proceso de solicitudes de servicio.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y aplicación de instrumentos de recolección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Diagnóstico de la situación problemática.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y elaboración del Marco Teórico.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Ejecución de actividades asignadas en el área administrativa.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Registro semanal de actividades realizadas.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Redacción de conclusiones y recomendaciones.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final y presentación del informe.</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4"/>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5"/>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Control Administrativo</w:t>
      </w:r>
      <w:bookmarkEnd w:id="bm_cap3_bases"/>
    </w:p>
    <w:p>
      <w:pPr>
        <w:spacing w:line="360" w:lineRule="auto" w:after="0" w:before="0"/>
        <w:ind w:firstLine="709"/>
        <w:jc w:val="both"/>
      </w:pPr>
      <w:r>
        <w:rPr>
          <w:rFonts w:ascii="Times New Roman" w:hAnsi="Times New Roman"/>
          <w:i w:val="0"/>
          <w:sz w:val="24"/>
        </w:rPr>
        <w:t>El control administrativo constituye una de las funciones fundamentales del proceso administrativo y se define como el mecanismo mediante el cual la organización verifica que las actividades ejecutadas se correspondan con lo planificado, detectando desviaciones y aplicando las medidas correctivas necesarias. Robbins y Coulter (2010) señalan que el control eficaz no solo identifica fallas, sino que proporciona información oportuna para la toma de decisiones gerenciales, convirtiéndose en un instrumento de mejora continua y no únicamente de fiscalización.</w:t>
      </w:r>
    </w:p>
    <w:p>
      <w:pPr>
        <w:spacing w:line="360" w:lineRule="auto" w:after="0" w:before="0"/>
        <w:ind w:firstLine="709"/>
        <w:jc w:val="both"/>
      </w:pPr>
      <w:r>
        <w:rPr>
          <w:rFonts w:ascii="Times New Roman" w:hAnsi="Times New Roman"/>
          <w:i w:val="0"/>
          <w:sz w:val="24"/>
        </w:rPr>
        <w:t>En el contexto del Departamento de Administración de Ingeniería de Telecomunicaciones, C.A., el control administrativo se aplica sobre el ciclo de gestión de solicitudes de servicio, abarcando desde la recepción de la solicitud del suscriptor hasta el cierre definitivo del caso. La ausencia de mecanismos formales de control en este ciclo genera inconsistencias entre los departamentos involucrados y dificulta la evaluación del desempeño del proceso de atención.</w:t>
      </w:r>
    </w:p>
    <w:p>
      <w:pPr>
        <w:spacing w:line="240" w:lineRule="auto" w:before="720" w:after="240"/>
        <w:ind w:left="709" w:right="709"/>
        <w:jc w:val="both"/>
      </w:pPr>
      <w:r>
        <w:rPr>
          <w:rFonts w:ascii="Times New Roman" w:hAnsi="Times New Roman"/>
          <w:sz w:val="24"/>
        </w:rPr>
        <w:t>El control es el proceso de monitorear las actividades para asegurarse de que se lleven a cabo según lo planeado y para corregir cualquier desviación significativa. Los gerentes no pueden saber realmente si sus unidades están desempeñándose adecuadamente hasta que evalúan qué actividades se han llevado a cabo y comparan el desempeño real con el estándar deseado.</w:t>
      </w:r>
      <w:r>
        <w:rPr>
          <w:rFonts w:ascii="Times New Roman" w:hAnsi="Times New Roman"/>
          <w:sz w:val="24"/>
        </w:rPr>
        <w:t xml:space="preserve"> (Robbins y Coulter, 2010, p. 398)</w:t>
      </w:r>
    </w:p>
    <w:p>
      <w:pPr>
        <w:spacing w:line="360" w:lineRule="auto" w:after="0" w:before="0"/>
        <w:ind w:firstLine="709"/>
        <w:jc w:val="both"/>
      </w:pPr>
      <w:r>
        <w:rPr>
          <w:rFonts w:ascii="Times New Roman" w:hAnsi="Times New Roman"/>
          <w:i w:val="0"/>
          <w:sz w:val="24"/>
        </w:rPr>
        <w:t>El control administrativo, como lo señalan los autores referidos, no se limita a una función de fiscalización, sino que se constituye en un mecanismo de retroalimentación continua que permite a la organización detectar desviaciones a tiempo y ajustar sus procesos para garantizar la calidad del servicio prestado al suscriptor.</w:t>
      </w:r>
    </w:p>
    <w:p>
      <w:pPr>
        <w:spacing w:before="480" w:after="480" w:line="360" w:lineRule="auto"/>
        <w:jc w:val="left"/>
      </w:pPr>
      <w:r>
        <w:rPr>
          <w:rFonts w:ascii="Times New Roman" w:hAnsi="Times New Roman"/>
          <w:b/>
          <w:sz w:val="24"/>
        </w:rPr>
        <w:t>Gestión de Solicitudes de Servicio</w:t>
      </w:r>
    </w:p>
    <w:p>
      <w:pPr>
        <w:spacing w:line="360" w:lineRule="auto" w:after="0" w:before="0"/>
        <w:ind w:firstLine="709"/>
        <w:jc w:val="both"/>
      </w:pPr>
      <w:r>
        <w:rPr>
          <w:rFonts w:ascii="Times New Roman" w:hAnsi="Times New Roman"/>
          <w:i w:val="0"/>
          <w:sz w:val="24"/>
        </w:rPr>
        <w:t>La gestión de solicitudes de servicio comprende el conjunto de procedimientos administrativos orientados a recepcionar, registrar, procesar y dar seguimiento a los requerimientos presentados por los clientes o suscriptores de una organización. Zeithaml, Parasuraman y Berry (1993) establecen que la calidad del servicio percibida por el cliente está directamente vinculada a la capacidad de la organización para gestionar sus solicitudes de forma ágil, transparente y con comunicación fluida en cada etapa del proceso.</w:t>
      </w:r>
    </w:p>
    <w:p>
      <w:pPr>
        <w:spacing w:line="360" w:lineRule="auto" w:after="0" w:before="0"/>
        <w:ind w:firstLine="709"/>
        <w:jc w:val="both"/>
      </w:pPr>
      <w:r>
        <w:rPr>
          <w:rFonts w:ascii="Times New Roman" w:hAnsi="Times New Roman"/>
          <w:i w:val="0"/>
          <w:sz w:val="24"/>
        </w:rPr>
        <w:t>En empresas de telecomunicaciones como IDETEL, la gestión de solicitudes abarca dos categorías principales: las solicitudes de afiliación de nuevos suscriptores, que implican la coordinación entre las áreas comercial, técnica y administrativa; y las incidencias reportadas por suscriptores activos, que requieren diagnóstico, despacho de cuadrillas y cierre verificado del caso. La ausencia de un sistema unificado de seguimiento para ambas categorías genera retrasos y reprocesos que impactan directamente en la satisfacción del cliente.</w:t>
      </w:r>
    </w:p>
    <w:p>
      <w:pPr>
        <w:spacing w:before="480" w:after="480" w:line="360" w:lineRule="auto"/>
        <w:jc w:val="left"/>
      </w:pPr>
      <w:r>
        <w:rPr>
          <w:rFonts w:ascii="Times New Roman" w:hAnsi="Times New Roman"/>
          <w:b/>
          <w:sz w:val="24"/>
        </w:rPr>
        <w:t>Procesos Administrativos y Estandarización de Procedimientos</w:t>
      </w:r>
    </w:p>
    <w:p>
      <w:pPr>
        <w:spacing w:line="360" w:lineRule="auto" w:after="0" w:before="0"/>
        <w:ind w:firstLine="709"/>
        <w:jc w:val="both"/>
      </w:pPr>
      <w:r>
        <w:rPr>
          <w:rFonts w:ascii="Times New Roman" w:hAnsi="Times New Roman"/>
          <w:i w:val="0"/>
          <w:sz w:val="24"/>
        </w:rPr>
        <w:t>El proceso administrativo constituye el marco conceptual que rige el funcionamiento de las organizaciones modernas. Chiavenato (2006) lo describe como el conjunto secuencial e interrelacionado de funciones de planificación, organización, dirección y control, orientadas al logro eficiente de los objetivos organizacionales. La estandarización de los procedimientos dentro de este marco garantiza que las actividades se ejecuten de manera uniforme, reduciendo la variabilidad y los errores derivados de la discrecionalidad individual.</w:t>
      </w:r>
    </w:p>
    <w:p>
      <w:pPr>
        <w:spacing w:line="360" w:lineRule="auto" w:after="0" w:before="0"/>
        <w:ind w:firstLine="709"/>
        <w:jc w:val="both"/>
      </w:pPr>
      <w:r>
        <w:rPr>
          <w:rFonts w:ascii="Times New Roman" w:hAnsi="Times New Roman"/>
          <w:i w:val="0"/>
          <w:sz w:val="24"/>
        </w:rPr>
        <w:t>La formalización de los procedimientos mediante manuales, flujogramas y formatos estandarizados constituye una herramienta esencial para el control administrativo. Según Harrington (1993), un proceso estandarizado es medible, controlable y mejorable, condiciones que permiten a la organización identificar con precisión los puntos de falla y aplicar acciones correctivas focalizadas. En el caso de IDETEL, la ausencia de procedimientos escritos para la gestión de solicitudes es una de las causas raíz de las deficiencias identificadas.</w:t>
      </w:r>
    </w:p>
    <w:p>
      <w:pPr>
        <w:spacing w:before="480" w:after="480" w:line="360" w:lineRule="auto"/>
        <w:jc w:val="left"/>
      </w:pPr>
      <w:r>
        <w:rPr>
          <w:rFonts w:ascii="Times New Roman" w:hAnsi="Times New Roman"/>
          <w:b/>
          <w:sz w:val="24"/>
        </w:rPr>
        <w:t>Calidad del Servicio en Empresas de Telecomunicaciones</w:t>
      </w:r>
    </w:p>
    <w:p>
      <w:pPr>
        <w:spacing w:line="360" w:lineRule="auto" w:after="0" w:before="0"/>
        <w:ind w:firstLine="709"/>
        <w:jc w:val="both"/>
      </w:pPr>
      <w:r>
        <w:rPr>
          <w:rFonts w:ascii="Times New Roman" w:hAnsi="Times New Roman"/>
          <w:i w:val="0"/>
          <w:sz w:val="24"/>
        </w:rPr>
        <w:t>La calidad del servicio se define como el grado en que las características del servicio prestado satisfacen o superan las expectativas del cliente. Parasuraman, Zeithaml y Berry (1988) desarrollaron el modelo SERVQUAL, que identifica cinco dimensiones de la calidad del servicio: fiabilidad, capacidad de respuesta, seguridad, empatía y elementos tangibles. En el sector de telecomunicaciones, la fiabilidad y la capacidad de respuesta son las dimensiones con mayor peso en la percepción del cliente.</w:t>
      </w:r>
    </w:p>
    <w:p>
      <w:pPr>
        <w:spacing w:line="360" w:lineRule="auto" w:after="0" w:before="0"/>
        <w:ind w:firstLine="709"/>
        <w:jc w:val="both"/>
      </w:pPr>
      <w:r>
        <w:rPr>
          <w:rFonts w:ascii="Times New Roman" w:hAnsi="Times New Roman"/>
          <w:i w:val="0"/>
          <w:sz w:val="24"/>
        </w:rPr>
        <w:t>Las deficiencias en el control administrativo del proceso de solicitudes de servicio impactan directamente sobre la fiabilidad y la capacidad de respuesta de IDETEL. Cuando una solicitud no es gestionada dentro de los tiempos establecidos o su estatus no puede ser verificado en tiempo real, el cliente percibe una falla en la calidad del servicio que deteriora su confianza en la organización y puede derivar en la cancelación del contrato o en la difusión de experiencias negativas.</w:t>
      </w:r>
    </w:p>
    <w:p>
      <w:pPr>
        <w:spacing w:before="480" w:after="480" w:line="360" w:lineRule="auto"/>
        <w:jc w:val="left"/>
      </w:pPr>
      <w:r>
        <w:rPr>
          <w:rFonts w:ascii="Times New Roman" w:hAnsi="Times New Roman"/>
          <w:b/>
          <w:sz w:val="24"/>
        </w:rPr>
        <w:t>Sistemas de Información para el Control Administrativo</w:t>
      </w:r>
    </w:p>
    <w:p>
      <w:pPr>
        <w:spacing w:line="360" w:lineRule="auto" w:after="0" w:before="0"/>
        <w:ind w:firstLine="709"/>
        <w:jc w:val="both"/>
      </w:pPr>
      <w:r>
        <w:rPr>
          <w:rFonts w:ascii="Times New Roman" w:hAnsi="Times New Roman"/>
          <w:i w:val="0"/>
          <w:sz w:val="24"/>
        </w:rPr>
        <w:t>Un sistema de información constituye un conjunto organizado de recursos tecnológicos y procedimentales orientados a la captura, almacenamiento, procesamiento y distribución de datos con el propósito de apoyar la toma de decisiones. Laudon y Laudon (2016) distinguen los sistemas de procesamiento de transacciones como la categoría que registra y gestiona las operaciones rutinarias de la organización, siendo esta la tipología más pertinente para el control de solicitudes de servicio en una empresa de telecomunicaciones.</w:t>
      </w:r>
    </w:p>
    <w:p>
      <w:pPr>
        <w:spacing w:line="360" w:lineRule="auto" w:after="0" w:before="0"/>
        <w:ind w:firstLine="709"/>
        <w:jc w:val="both"/>
      </w:pPr>
      <w:r>
        <w:rPr>
          <w:rFonts w:ascii="Times New Roman" w:hAnsi="Times New Roman"/>
          <w:i w:val="0"/>
          <w:sz w:val="24"/>
        </w:rPr>
        <w:t>La implementación de un sistema de tickets o plataforma de seguimiento de solicitudes en IDETEL permitiría centralizar el registro de cada caso, asignar responsables, definir tiempos de atención y generar alertas ante incumplimientos. Esta herramienta transformaría el control administrativo de reactivo a proactivo, dotando a la supervisión de información en tiempo real para la toma de decisiones y la evaluación continua del desempeño del proceso.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un diagnóstico de campo que evidencie la situación deficitaria y la comprobación de la viabilidad técnica y operativa de la solución planteada.</w:t>
      </w:r>
    </w:p>
    <w:p>
      <w:pPr>
        <w:spacing w:line="360" w:lineRule="auto" w:after="0" w:before="0"/>
        <w:ind w:firstLine="709"/>
        <w:jc w:val="both"/>
      </w:pPr>
      <w:r>
        <w:rPr>
          <w:rFonts w:ascii="Times New Roman" w:hAnsi="Times New Roman"/>
          <w:i w:val="0"/>
          <w:sz w:val="24"/>
        </w:rPr>
        <w:t>Arias (2012) señala que el proyecto factible avanza hasta proponer y en muchos casos desarrollar la solución, demostrando su aplicabilidad en el contexto real. El presente trabajo se enmarca en esta modalidad al partir de la evaluación del control administrativo de IDETEL para proponer mejoras procedimentales cuya implementación es viable dentro de la estructura organizativa y los recursos disponibles de la empresa.</w:t>
      </w:r>
    </w:p>
    <w:p>
      <w:pPr>
        <w:sectPr>
          <w:footerReference w:type="default" r:id="rId36"/>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7"/>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38"/>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sectPr w:rsidR="00FC693F" w:rsidRPr="0006063C" w:rsidSect="00034616">
      <w:footerReference w:type="default" r:id="rId39"/>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oter" Target="footer13.xml"/><Relationship Id="rId26" Type="http://schemas.openxmlformats.org/officeDocument/2006/relationships/footer" Target="footer14.xml"/><Relationship Id="rId27" Type="http://schemas.openxmlformats.org/officeDocument/2006/relationships/footer" Target="footer15.xml"/><Relationship Id="rId28" Type="http://schemas.openxmlformats.org/officeDocument/2006/relationships/footer" Target="footer16.xml"/><Relationship Id="rId29" Type="http://schemas.openxmlformats.org/officeDocument/2006/relationships/footer" Target="footer17.xml"/><Relationship Id="rId30" Type="http://schemas.openxmlformats.org/officeDocument/2006/relationships/footer" Target="footer18.xml"/><Relationship Id="rId31" Type="http://schemas.openxmlformats.org/officeDocument/2006/relationships/footer" Target="footer19.xml"/><Relationship Id="rId32" Type="http://schemas.openxmlformats.org/officeDocument/2006/relationships/footer" Target="footer20.xml"/><Relationship Id="rId33" Type="http://schemas.openxmlformats.org/officeDocument/2006/relationships/footer" Target="footer21.xml"/><Relationship Id="rId34" Type="http://schemas.openxmlformats.org/officeDocument/2006/relationships/footer" Target="footer22.xml"/><Relationship Id="rId35" Type="http://schemas.openxmlformats.org/officeDocument/2006/relationships/footer" Target="footer23.xml"/><Relationship Id="rId36" Type="http://schemas.openxmlformats.org/officeDocument/2006/relationships/footer" Target="footer24.xml"/><Relationship Id="rId37" Type="http://schemas.openxmlformats.org/officeDocument/2006/relationships/footer" Target="footer25.xml"/><Relationship Id="rId38" Type="http://schemas.openxmlformats.org/officeDocument/2006/relationships/footer" Target="footer26.xml"/><Relationship Id="rId39" Type="http://schemas.openxmlformats.org/officeDocument/2006/relationships/footer" Target="footer2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