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78" w:after="1334"/>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PROPUESTA DE SIMPLIFICACIÓN ADMINISTRATIVA DE LA PROCURA EN LUBRICANTES Y EQUIPOS VARYNA, C.A.</w:t>
      </w:r>
    </w:p>
    <w:p>
      <w:pPr>
        <w:spacing w:line="276" w:lineRule="auto" w:before="3260" w:after="0"/>
        <w:jc w:val="right"/>
      </w:pPr>
      <w:r>
        <w:rPr>
          <w:rFonts w:ascii="Times New Roman" w:hAnsi="Times New Roman"/>
          <w:b/>
          <w:sz w:val="24"/>
        </w:rPr>
        <w:t>Autor:</w:t>
        <w:br/>
      </w:r>
      <w:r>
        <w:rPr>
          <w:rFonts w:ascii="Times New Roman" w:hAnsi="Times New Roman"/>
          <w:b/>
          <w:sz w:val="24"/>
        </w:rPr>
        <w:t>Keidy Guzmán</w:t>
        <w:br/>
      </w:r>
      <w:r>
        <w:rPr>
          <w:rFonts w:ascii="Times New Roman" w:hAnsi="Times New Roman"/>
          <w:b/>
          <w:sz w:val="24"/>
        </w:rPr>
        <w:t>C.I.: 28.706.352</w:t>
      </w:r>
    </w:p>
    <w:p>
      <w:pPr>
        <w:spacing w:line="276" w:lineRule="auto" w:before="1630"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176" w:after="0"/>
        <w:jc w:val="center"/>
      </w:pPr>
      <w:r>
        <w:rPr>
          <w:rFonts w:ascii="Times New Roman" w:hAnsi="Times New Roman"/>
          <w:b/>
          <w:sz w:val="24"/>
        </w:rPr>
        <w:t>PROPUESTA DE SIMPLIFICACIÓN ADMINISTRATIVA DE LA PROCURA EN LUBRICANTES Y EQUIPOS VARYNA, C.A.</w:t>
      </w:r>
    </w:p>
    <w:p>
      <w:pPr>
        <w:spacing w:before="2647"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Martina Rondón</w:t>
              <w:br/>
            </w:r>
            <w:r>
              <w:rPr>
                <w:rFonts w:ascii="Times New Roman" w:hAnsi="Times New Roman"/>
                <w:b/>
                <w:sz w:val="24"/>
              </w:rPr>
              <w:t>C.I.: 12.208.768</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Dra. Carmen J. Álvarez</w:t>
              <w:br/>
            </w:r>
            <w:r>
              <w:rPr>
                <w:rFonts w:ascii="Times New Roman" w:hAnsi="Times New Roman"/>
                <w:b/>
                <w:sz w:val="24"/>
              </w:rPr>
              <w:t>C.I.: 14.452.956</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Keidy Guzmán</w:t>
              <w:br/>
            </w:r>
            <w:r>
              <w:rPr>
                <w:rFonts w:ascii="Times New Roman" w:hAnsi="Times New Roman"/>
                <w:b/>
                <w:sz w:val="24"/>
              </w:rPr>
              <w:t>C.I.: 28.706.352</w:t>
            </w:r>
          </w:p>
        </w:tc>
      </w:tr>
    </w:tbl>
    <w:p>
      <w:pPr>
        <w:spacing w:line="276" w:lineRule="auto" w:before="1323"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Keidy Guzmán,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
    <w:p/>
    <w:p/>
    <w:p/>
    <w:p>
      <w:pPr>
        <w:tabs>
          <w:tab w:pos="10205" w:val="left"/>
        </w:tabs>
        <w:jc w:val="left"/>
      </w:pPr>
      <w:r>
        <w:rPr>
          <w:rFonts w:ascii="Times New Roman" w:hAnsi="Times New Roman"/>
          <w:sz w:val="24"/>
        </w:rPr>
        <w:t>Apellidos y Nombres</w:t>
      </w:r>
      <w:r>
        <w:rPr>
          <w:rFonts w:ascii="Times New Roman" w:hAnsi="Times New Roman"/>
          <w:sz w:val="24"/>
        </w:rPr>
        <w:tab/>
      </w:r>
      <w:r>
        <w:rPr>
          <w:rFonts w:ascii="Times New Roman" w:hAnsi="Times New Roman"/>
          <w:sz w:val="24"/>
        </w:rPr>
        <w:t>C.I.: _______________</w:t>
      </w:r>
    </w:p>
    <w:p>
      <w:pPr>
        <w:sectPr>
          <w:footerReference w:type="default" r:id="rId14"/>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Keidy Guzmán,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
    <w:p/>
    <w:p/>
    <w:p/>
    <w:p>
      <w:pPr>
        <w:tabs>
          <w:tab w:pos="10205" w:val="left"/>
        </w:tabs>
        <w:jc w:val="left"/>
      </w:pPr>
      <w:r>
        <w:rPr>
          <w:rFonts w:ascii="Times New Roman" w:hAnsi="Times New Roman"/>
          <w:sz w:val="24"/>
        </w:rPr>
        <w:t>Apellidos y Nombres</w:t>
      </w:r>
      <w:r>
        <w:rPr>
          <w:rFonts w:ascii="Times New Roman" w:hAnsi="Times New Roman"/>
          <w:sz w:val="24"/>
        </w:rPr>
        <w:tab/>
      </w:r>
      <w:r>
        <w:rPr>
          <w:rFonts w:ascii="Times New Roman" w:hAnsi="Times New Roman"/>
          <w:sz w:val="24"/>
        </w:rPr>
        <w:t>C.I.: _______________</w:t>
      </w:r>
    </w:p>
    <w:p>
      <w:pPr>
        <w:sectPr>
          <w:footerReference w:type="default" r:id="rId15"/>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6"/>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7"/>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18"/>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19"/>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0"/>
          <w:pgSz w:w="12240" w:h="15840"/>
          <w:pgMar w:top="1701" w:right="1701" w:bottom="1701" w:left="2268" w:header="720" w:footer="720" w:gutter="0"/>
          <w:cols w:space="720"/>
          <w:titlePg/>
          <w:docGrid w:linePitch="360"/>
        </w:sectPr>
      </w:pPr>
    </w:p>
    <w:p>
      <w:pPr>
        <w:sectPr>
          <w:footerReference w:type="default" r:id="rId21"/>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2"/>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la empresa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la organización</w:t>
        <w:tab/>
      </w:r>
      <w:r>
        <w:rPr>
          <w:rFonts w:ascii="Times New Roman" w:hAnsi="Times New Roman"/>
          <w:b w:val="0"/>
          <w:sz w:val="24"/>
        </w:rPr>
        <w:fldChar w:fldCharType="begin"/>
        <w:instrText xml:space="preserve"> PAGEREF bm_grafico2 \h </w:instrText>
        <w:fldChar w:fldCharType="separate"/>
        <w:t>?</w:t>
        <w:fldChar w:fldCharType="end"/>
      </w:r>
    </w:p>
    <w:p>
      <w:pPr>
        <w:sectPr>
          <w:footerReference w:type="default" r:id="rId23"/>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4"/>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sectPr>
          <w:footerReference w:type="default" r:id="rId25"/>
          <w:type w:val="continuous"/>
          <w:pgSz w:w="12240" w:h="15840"/>
          <w:pgMar w:top="1701" w:right="1701" w:bottom="1701" w:left="2268" w:header="720" w:footer="720" w:gutter="0"/>
          <w:cols w:space="720"/>
          <w:titlePg/>
          <w:docGrid w:linePitch="360"/>
        </w:sectPr>
      </w:pPr>
    </w:p>
    <w:p>
      <w:bookmarkStart w:id="bm_resumen" w:name="bm_resumen"/>
      <w:pPr>
        <w:spacing w:before="1140" w:after="480"/>
        <w:jc w:val="center"/>
      </w:pPr>
      <w:r>
        <w:rPr>
          <w:rFonts w:ascii="Times New Roman" w:hAnsi="Times New Roman"/>
          <w:b/>
          <w:sz w:val="24"/>
        </w:rPr>
        <w:t>RESUMEN</w:t>
      </w:r>
      <w:bookmarkEnd w:id="bm_resumen"/>
    </w:p>
    <w:p>
      <w:pPr>
        <w:sectPr>
          <w:footerReference w:type="default" r:id="rId26"/>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propuesta de simplificación administrativa del proceso de procura en el departamento administrativo de Lubricantes y Equipos Varyna, C.A. La investigación se enmarca en la modalidad de proyecto factible apoyado en un diagnóstico de campo. Durante el estudio se identificó la ausencia de canales formalizados de recepción de requisiciones, tiempos de respuesta prolongados en las fases de cotización y aprobación, y la inexistencia de formatos estandarizados de control. La propuesta contempla un nuevo flujo de trabajo procedimental simplificado, plantillas estandarizadas de solicitud y orden de compra, y una matriz de autorización por monto, orientadas a fortalecer el control interno y agilizar el ciclo de adquisición de insumos y materiales.</w:t>
      </w:r>
    </w:p>
    <w:p/>
    <w:p>
      <w:pPr>
        <w:ind w:firstLine="709"/>
      </w:pPr>
      <w:r>
        <w:rPr>
          <w:b/>
        </w:rPr>
        <w:t xml:space="preserve">Palabras claves: </w:t>
      </w:r>
      <w:r>
        <w:t>procura, simplificación administrativa, proceso administrativo, proyecto factible, pasantías.</w:t>
      </w:r>
    </w:p>
    <w:p>
      <w:pPr>
        <w:sectPr>
          <w:footerReference w:type="default" r:id="rId27"/>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28"/>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proponer la simplificación administrativa del proceso de procura en el departamento administrativo de Lubricantes y Equipos Varyna, C.A. La investigación parte del diagnóstico de las deficiencias actuales en el ciclo de adquisición de insumos y materiales, identificando los factores que generan retrasos operativos y complejidades innecesarias en el control interno del departamento. El informe se estructura en cinco capítulos: el Capítulo I presenta la realidad organizacional de la empresa;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29"/>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0"/>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Lubricantes y Equipos Varyna, 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Lubricantes y Equipos Varyná, C.A. es una empresa venezolana fundada con la visión de responder a las crecientes demandas operativas e industriales del país. A lo largo de más de treinta y seis (36) años de trayectoria ininterrumpida, la organización se ha consolidado en el sector petrolero, industrial y de construcción, posicionándose como un aliado estratégico de alta confiabilidad en el mercado nacional gracias a su capacidad de respuesta y solvencia técnica.</w:t>
      </w:r>
    </w:p>
    <w:p>
      <w:pPr>
        <w:spacing w:line="360" w:lineRule="auto" w:after="0" w:before="0"/>
        <w:ind w:firstLine="709"/>
        <w:jc w:val="both"/>
      </w:pPr>
      <w:r>
        <w:rPr>
          <w:rFonts w:ascii="Times New Roman" w:hAnsi="Times New Roman"/>
          <w:i w:val="0"/>
          <w:sz w:val="24"/>
        </w:rPr>
        <w:t>Desde sus primeros años de operaciones, la empresa enfocó su estrategia en la diversificación técnica de sus servicios, pasando de ser un proveedor local de insumos a una estructura corporativa especializada en el procesamiento y suministro de productos químicos de alto rendimiento, tratamiento químico de crudo y provisión de maquinaria pesada para proyectos de gran escala. Este desarrollo progresivo le permitió establecer estándares operacionales alineados con las exigencias de la industria energética regional y nacional.</w:t>
      </w:r>
    </w:p>
    <w:p>
      <w:pPr>
        <w:spacing w:line="360" w:lineRule="auto" w:after="0" w:before="0"/>
        <w:ind w:firstLine="709"/>
        <w:jc w:val="both"/>
      </w:pPr>
      <w:r>
        <w:rPr>
          <w:rFonts w:ascii="Times New Roman" w:hAnsi="Times New Roman"/>
          <w:i w:val="0"/>
          <w:sz w:val="24"/>
        </w:rPr>
        <w:t>Su integración como parte fundamental del Grupo Corporativo VTC marcó un hito en su madurez organizacional, impulsando un crecimiento sostenido mediante la profesionalización de sus procesos, la adopción de tecnologías de vanguardia y la consolidación de alianzas comerciales de largo alcance. Hoy en día, Lubricantes y Equipos Varyná, C.A. mantiene su compromiso con el desarrollo productivo del país, sustentando su liderazgo en la innovación continua, la calidad de servicio y el fortalecimiento constante de su capital humano y capacidad logística.</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el conglomerado de empresas líderes en cada una de las categorías en las que participamos, generando modelos de negocios altamente competitivos, atendiendo a nuestros distintos beneficiarios con productos y servicios de calidad.</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Planificación: </w:t>
      </w:r>
      <w:r>
        <w:rPr>
          <w:rFonts w:ascii="Times New Roman" w:hAnsi="Times New Roman"/>
          <w:sz w:val="24"/>
        </w:rPr>
        <w:t>Estructuración anticipada de las adquisiciones para optimizar los recursos financieros de la organización.</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Cumplimiento eficiente de los compromisos adquiridos con clientes, proveedores y trabajadores.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Integridad: </w:t>
      </w:r>
      <w:r>
        <w:rPr>
          <w:rFonts w:ascii="Times New Roman" w:hAnsi="Times New Roman"/>
          <w:sz w:val="24"/>
        </w:rPr>
        <w:t>Actuar con honestidad, ética y transparencia en todas las operaciones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Transparencia: </w:t>
      </w:r>
      <w:r>
        <w:rPr>
          <w:rFonts w:ascii="Times New Roman" w:hAnsi="Times New Roman"/>
          <w:sz w:val="24"/>
        </w:rPr>
        <w:t>Garantizar la trazabilidad y la claridad en los procesos de selección y adjudicación de compras.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Posicionarse como una empresa líder en el sector petrolero, industrial y de construcción a nivel nacional, garantizando la provisión oportuna de productos químicos especializados, tratamiento de crudo y maquinaria pesada, mediante una gestión administrativa, operacional y de procura transparente, eficiente y orientada a la calidad total.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Proporcionar soluciones eficientes y oportunas a las necesidades de sus clientes.</w:t>
      </w:r>
    </w:p>
    <w:p>
      <w:pPr>
        <w:spacing w:line="360" w:lineRule="auto"/>
        <w:ind w:firstLine="709"/>
        <w:jc w:val="both"/>
      </w:pPr>
      <w:r>
        <w:rPr>
          <w:rFonts w:ascii="Times New Roman" w:hAnsi="Times New Roman"/>
          <w:sz w:val="24"/>
        </w:rPr>
        <w:t xml:space="preserve">2. </w:t>
      </w:r>
      <w:r>
        <w:rPr>
          <w:rFonts w:ascii="Times New Roman" w:hAnsi="Times New Roman"/>
          <w:sz w:val="24"/>
        </w:rPr>
        <w:t>Mantener altos estándares de calidad en los productos y servicios ofrecidos.</w:t>
      </w:r>
    </w:p>
    <w:p>
      <w:pPr>
        <w:spacing w:line="360" w:lineRule="auto"/>
        <w:ind w:firstLine="709"/>
        <w:jc w:val="both"/>
      </w:pPr>
      <w:r>
        <w:rPr>
          <w:rFonts w:ascii="Times New Roman" w:hAnsi="Times New Roman"/>
          <w:sz w:val="24"/>
        </w:rPr>
        <w:t xml:space="preserve">3. </w:t>
      </w:r>
      <w:r>
        <w:rPr>
          <w:rFonts w:ascii="Times New Roman" w:hAnsi="Times New Roman"/>
          <w:sz w:val="24"/>
        </w:rPr>
        <w:t>Asegurar el abastecimiento continuo y eficiente de insumos mediante una gestión administrativa transparente.</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Calle 23 de enero entre calle principal el palomar y calle la paz sector vista al sol, San José de Guanipa Edo. Anzoátegui.</w:t>
      </w:r>
    </w:p>
    <w:p>
      <w:pPr>
        <w:spacing w:before="480"/>
        <w:jc w:val="center"/>
      </w:pPr>
      <w:r>
        <w:drawing>
          <wp:inline xmlns:a="http://schemas.openxmlformats.org/drawingml/2006/main" xmlns:pic="http://schemas.openxmlformats.org/drawingml/2006/picture">
            <wp:extent cx="1800000" cy="1315385"/>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315385"/>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la empresa.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after="120"/>
      </w:pPr>
    </w:p>
    <w:tbl>
      <w:tblPr>
        <w:tblStyle w:val="TableGrid"/>
        <w:tblW w:type="auto" w:w="0"/>
        <w:jc w:val="center"/>
        <w:tblLook w:firstColumn="1" w:firstRow="1" w:lastColumn="0" w:lastRow="0" w:noHBand="0" w:noVBand="1" w:val="04A0"/>
        <w:tblLayout w:type="fixed"/>
      </w:tblPr>
      <w:tblGrid>
        <w:gridCol w:w="1984"/>
        <w:gridCol w:w="2886"/>
        <w:gridCol w:w="1134"/>
        <w:gridCol w:w="1134"/>
        <w:gridCol w:w="1134"/>
      </w:tblGrid>
      <w:tr>
        <w:tc>
          <w:tcPr>
            <w:tcW w:w="1984" w:type="dxa"/>
            <w:shd w:fill="D9E2F3"/>
          </w:tcPr>
          <w:p>
            <w:pPr>
              <w:jc w:val="center"/>
            </w:pPr>
            <w:r/>
            <w:r>
              <w:rPr>
                <w:rFonts w:ascii="Times New Roman" w:hAnsi="Times New Roman"/>
                <w:b/>
                <w:sz w:val="16"/>
              </w:rPr>
              <w:t>Departamento / Área</w:t>
            </w:r>
          </w:p>
        </w:tc>
        <w:tc>
          <w:tcPr>
            <w:tcW w:w="2886" w:type="dxa"/>
            <w:shd w:fill="D9E2F3"/>
          </w:tcPr>
          <w:p>
            <w:pPr>
              <w:jc w:val="center"/>
            </w:pPr>
            <w:r/>
            <w:r>
              <w:rPr>
                <w:rFonts w:ascii="Times New Roman" w:hAnsi="Times New Roman"/>
                <w:b/>
                <w:sz w:val="16"/>
              </w:rPr>
              <w:t>Cargo</w:t>
            </w:r>
          </w:p>
        </w:tc>
        <w:tc>
          <w:tcPr>
            <w:tcW w:w="1134" w:type="dxa"/>
            <w:shd w:fill="D9E2F3"/>
          </w:tcPr>
          <w:p>
            <w:pPr>
              <w:jc w:val="center"/>
            </w:pPr>
            <w:r/>
            <w:r>
              <w:rPr>
                <w:rFonts w:ascii="Times New Roman" w:hAnsi="Times New Roman"/>
                <w:b/>
                <w:sz w:val="16"/>
              </w:rPr>
              <w:t>Femenino</w:t>
            </w:r>
          </w:p>
        </w:tc>
        <w:tc>
          <w:tcPr>
            <w:tcW w:w="1134" w:type="dxa"/>
            <w:shd w:fill="D9E2F3"/>
          </w:tcPr>
          <w:p>
            <w:pPr>
              <w:jc w:val="center"/>
            </w:pPr>
            <w:r/>
            <w:r>
              <w:rPr>
                <w:rFonts w:ascii="Times New Roman" w:hAnsi="Times New Roman"/>
                <w:b/>
                <w:sz w:val="16"/>
              </w:rPr>
              <w:t>Masculino</w:t>
            </w:r>
          </w:p>
        </w:tc>
        <w:tc>
          <w:tcPr>
            <w:tcW w:w="1134" w:type="dxa"/>
            <w:shd w:fill="D9E2F3"/>
          </w:tcPr>
          <w:p>
            <w:pPr>
              <w:jc w:val="center"/>
            </w:pPr>
            <w:r/>
            <w:r>
              <w:rPr>
                <w:rFonts w:ascii="Times New Roman" w:hAnsi="Times New Roman"/>
                <w:b/>
                <w:sz w:val="16"/>
              </w:rPr>
              <w:t>Total</w:t>
            </w:r>
          </w:p>
        </w:tc>
      </w:tr>
      <w:tr>
        <w:tc>
          <w:tcPr>
            <w:tcW w:type="dxa" w:w="1984"/>
          </w:tcPr>
          <w:p>
            <w:pPr>
              <w:jc w:val="left"/>
            </w:pPr>
            <w:r/>
            <w:r>
              <w:rPr>
                <w:rFonts w:ascii="Times New Roman" w:hAnsi="Times New Roman"/>
                <w:sz w:val="16"/>
              </w:rPr>
              <w:t>Alta Dirección</w:t>
            </w:r>
          </w:p>
        </w:tc>
        <w:tc>
          <w:tcPr>
            <w:tcW w:type="dxa" w:w="2886"/>
          </w:tcPr>
          <w:p>
            <w:pPr>
              <w:jc w:val="left"/>
            </w:pPr>
            <w:r/>
            <w:r>
              <w:rPr>
                <w:rFonts w:ascii="Times New Roman" w:hAnsi="Times New Roman"/>
                <w:sz w:val="16"/>
              </w:rPr>
              <w:t>Gerente General</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Dirección Operativa</w:t>
            </w:r>
          </w:p>
        </w:tc>
        <w:tc>
          <w:tcPr>
            <w:tcW w:type="dxa" w:w="2886"/>
          </w:tcPr>
          <w:p>
            <w:pPr>
              <w:jc w:val="left"/>
            </w:pPr>
            <w:r/>
            <w:r>
              <w:rPr>
                <w:rFonts w:ascii="Times New Roman" w:hAnsi="Times New Roman"/>
                <w:sz w:val="16"/>
              </w:rPr>
              <w:t>Gerente de Operaciones</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Control y Avance</w:t>
            </w:r>
          </w:p>
        </w:tc>
        <w:tc>
          <w:tcPr>
            <w:tcW w:type="dxa" w:w="2886"/>
          </w:tcPr>
          <w:p>
            <w:pPr>
              <w:jc w:val="left"/>
            </w:pPr>
            <w:r/>
            <w:r>
              <w:rPr>
                <w:rFonts w:ascii="Times New Roman" w:hAnsi="Times New Roman"/>
                <w:sz w:val="16"/>
              </w:rPr>
              <w:t>Gerente / Operaciones Morichal</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t>Administración (Área de Pasantía)</w:t>
            </w:r>
          </w:p>
        </w:tc>
        <w:tc>
          <w:tcPr>
            <w:tcW w:type="dxa" w:w="2886"/>
          </w:tcPr>
          <w:p>
            <w:pPr>
              <w:jc w:val="left"/>
            </w:pPr>
            <w:r/>
            <w:r>
              <w:rPr>
                <w:rFonts w:ascii="Times New Roman" w:hAnsi="Times New Roman"/>
                <w:sz w:val="16"/>
              </w:rPr>
              <w:t>Administración / Asistentes Administrativos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Control de Avance, Logística y Compras (Procura)</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Operarios, Sup. Patio, Mantenimiento y Logística</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t>Contratación y Adm. Contratos</w:t>
            </w:r>
          </w:p>
        </w:tc>
        <w:tc>
          <w:tcPr>
            <w:tcW w:type="dxa" w:w="2886"/>
          </w:tcPr>
          <w:p>
            <w:pPr>
              <w:jc w:val="left"/>
            </w:pPr>
            <w:r/>
            <w:r>
              <w:rPr>
                <w:rFonts w:ascii="Times New Roman" w:hAnsi="Times New Roman"/>
                <w:sz w:val="16"/>
              </w:rPr>
              <w:t>Gerente / Estimadores, Administradores, Planificadores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t>Recursos Humanos</w:t>
            </w:r>
          </w:p>
        </w:tc>
        <w:tc>
          <w:tcPr>
            <w:tcW w:type="dxa" w:w="2886"/>
          </w:tcPr>
          <w:p>
            <w:pPr>
              <w:jc w:val="left"/>
            </w:pPr>
            <w:r/>
            <w:r>
              <w:rPr>
                <w:rFonts w:ascii="Times New Roman" w:hAnsi="Times New Roman"/>
                <w:sz w:val="16"/>
              </w:rPr>
              <w:t>Gerente de RRHH-Laborales / Asistentes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t>Proyectos y Producción</w:t>
            </w:r>
          </w:p>
        </w:tc>
        <w:tc>
          <w:tcPr>
            <w:tcW w:type="dxa" w:w="2886"/>
          </w:tcPr>
          <w:p>
            <w:pPr>
              <w:jc w:val="left"/>
            </w:pPr>
            <w:r/>
            <w:r>
              <w:rPr>
                <w:rFonts w:ascii="Times New Roman" w:hAnsi="Times New Roman"/>
                <w:sz w:val="16"/>
              </w:rPr>
              <w:t>Gerentes de Proyecto, Optimización y Servicios</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Gerente Metalmecánico</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Ingeniería y Campo</w:t>
            </w:r>
          </w:p>
        </w:tc>
        <w:tc>
          <w:tcPr>
            <w:tcW w:type="dxa" w:w="2886"/>
          </w:tcPr>
          <w:p>
            <w:pPr>
              <w:jc w:val="left"/>
            </w:pPr>
            <w:r/>
            <w:r>
              <w:rPr>
                <w:rFonts w:ascii="Times New Roman" w:hAnsi="Times New Roman"/>
                <w:sz w:val="16"/>
              </w:rPr>
              <w:t>Ingenieros Residentes / Coordinadores (SIHO-A, Calidad)</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3</w:t>
            </w:r>
          </w:p>
        </w:tc>
        <w:tc>
          <w:tcPr>
            <w:tcW w:type="dxa" w:w="1134"/>
          </w:tcPr>
          <w:p>
            <w:pPr>
              <w:jc w:val="center"/>
            </w:pPr>
            <w:r/>
            <w:r>
              <w:rPr>
                <w:rFonts w:ascii="Times New Roman" w:hAnsi="Times New Roman"/>
                <w:sz w:val="16"/>
              </w:rPr>
              <w:t>5</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Inspectores (SIHO, Ambiente, Paramédicos, Calidad)</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4</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Supervisor de Obras, Operadores, Chóferes, Soldadores, Obreros</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10</w:t>
            </w:r>
          </w:p>
        </w:tc>
        <w:tc>
          <w:tcPr>
            <w:tcW w:type="dxa" w:w="1134"/>
          </w:tcPr>
          <w:p>
            <w:pPr>
              <w:jc w:val="center"/>
            </w:pPr>
            <w:r/>
            <w:r>
              <w:rPr>
                <w:rFonts w:ascii="Times New Roman" w:hAnsi="Times New Roman"/>
                <w:sz w:val="16"/>
              </w:rPr>
              <w:t>11</w:t>
            </w:r>
          </w:p>
        </w:tc>
      </w:tr>
      <w:tr>
        <w:tc>
          <w:tcPr>
            <w:tcW w:type="dxa" w:w="1984"/>
          </w:tcPr>
          <w:p>
            <w:pPr>
              <w:jc w:val="left"/>
            </w:pPr>
            <w:r/>
            <w:r>
              <w:rPr>
                <w:rFonts w:ascii="Times New Roman" w:hAnsi="Times New Roman"/>
                <w:sz w:val="16"/>
              </w:rPr>
              <w:t>TOTAL GENERAL</w:t>
            </w:r>
          </w:p>
        </w:tc>
        <w:tc>
          <w:tcPr>
            <w:tcW w:type="dxa" w:w="2886"/>
          </w:tcPr>
          <w:p>
            <w:pPr>
              <w:jc w:val="left"/>
            </w:pPr>
            <w:r/>
            <w:r>
              <w:rPr>
                <w:rFonts w:ascii="Times New Roman" w:hAnsi="Times New Roman"/>
                <w:sz w:val="16"/>
              </w:rPr>
            </w:r>
          </w:p>
        </w:tc>
        <w:tc>
          <w:tcPr>
            <w:tcW w:type="dxa" w:w="1134"/>
          </w:tcPr>
          <w:p>
            <w:pPr>
              <w:jc w:val="center"/>
            </w:pPr>
            <w:r/>
            <w:r>
              <w:rPr>
                <w:rFonts w:ascii="Times New Roman" w:hAnsi="Times New Roman"/>
                <w:sz w:val="16"/>
              </w:rPr>
              <w:t>14</w:t>
            </w:r>
          </w:p>
        </w:tc>
        <w:tc>
          <w:tcPr>
            <w:tcW w:type="dxa" w:w="1134"/>
          </w:tcPr>
          <w:p>
            <w:pPr>
              <w:jc w:val="center"/>
            </w:pPr>
            <w:r/>
            <w:r>
              <w:rPr>
                <w:rFonts w:ascii="Times New Roman" w:hAnsi="Times New Roman"/>
                <w:sz w:val="16"/>
              </w:rPr>
              <w:t>28</w:t>
            </w:r>
          </w:p>
        </w:tc>
        <w:tc>
          <w:tcPr>
            <w:tcW w:type="dxa" w:w="1134"/>
          </w:tcPr>
          <w:p>
            <w:pPr>
              <w:jc w:val="center"/>
            </w:pPr>
            <w:r/>
            <w:r>
              <w:rPr>
                <w:rFonts w:ascii="Times New Roman" w:hAnsi="Times New Roman"/>
                <w:sz w:val="16"/>
              </w:rPr>
              <w:t>42</w:t>
            </w:r>
          </w:p>
        </w:tc>
      </w:tr>
    </w:tbl>
    <w:p>
      <w:pPr>
        <w:spacing w:before="120"/>
      </w:pPr>
      <w:r>
        <w:rPr>
          <w:rFonts w:ascii="Times New Roman" w:hAnsi="Times New Roman"/>
          <w:i/>
          <w:sz w:val="16"/>
        </w:rPr>
        <w:t>Fuente: Departamento Administrativo de Lubricantes y Equipos Varyna, C.A. (2026).</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A continuación, se presenta la estructura organizativa de la empresa, reflejando las líneas de mando y la distribución de los departamentos administrativos y de procura. Los departamentos que conforman la organización son los siguientes:</w:t>
      </w:r>
    </w:p>
    <w:p>
      <w:pPr>
        <w:spacing w:line="360" w:lineRule="auto" w:after="0" w:before="0"/>
        <w:ind w:firstLine="709"/>
        <w:jc w:val="both"/>
      </w:pPr>
      <w:r>
        <w:rPr>
          <w:rFonts w:ascii="Times New Roman" w:hAnsi="Times New Roman"/>
          <w:i w:val="0"/>
          <w:sz w:val="24"/>
        </w:rPr>
        <w:t>Gerencia General: Es la máxima autoridad ejecutiva encargada de la dirección estratégica, la toma de decisiones corporativas y el cumplimiento de los objetivos globales de la organización.</w:t>
      </w:r>
    </w:p>
    <w:p>
      <w:pPr>
        <w:spacing w:line="360" w:lineRule="auto" w:after="0" w:before="0"/>
        <w:ind w:firstLine="709"/>
        <w:jc w:val="both"/>
      </w:pPr>
      <w:r>
        <w:rPr>
          <w:rFonts w:ascii="Times New Roman" w:hAnsi="Times New Roman"/>
          <w:i w:val="0"/>
          <w:sz w:val="24"/>
        </w:rPr>
        <w:t>Gerencia de Operaciones: Coordina y supervisa la ejecución técnica y operativa de los proyectos, garantizando la eficiencia en el uso de recursos e infraestructura en campo.</w:t>
      </w:r>
    </w:p>
    <w:p>
      <w:pPr>
        <w:spacing w:line="360" w:lineRule="auto" w:after="0" w:before="0"/>
        <w:ind w:firstLine="709"/>
        <w:jc w:val="both"/>
      </w:pPr>
      <w:r>
        <w:rPr>
          <w:rFonts w:ascii="Times New Roman" w:hAnsi="Times New Roman"/>
          <w:i w:val="0"/>
          <w:sz w:val="24"/>
        </w:rPr>
        <w:t>Gerencia de Control y Avance (y Operaciones Morichal): Responsable de monitorear el rendimiento, cumplimiento de metas de avance físico de obras y la logística operativa regional en el área de Morichal.</w:t>
      </w:r>
    </w:p>
    <w:p>
      <w:pPr>
        <w:spacing w:line="360" w:lineRule="auto" w:after="0" w:before="0"/>
        <w:ind w:firstLine="709"/>
        <w:jc w:val="both"/>
      </w:pPr>
      <w:r>
        <w:rPr>
          <w:rFonts w:ascii="Times New Roman" w:hAnsi="Times New Roman"/>
          <w:i w:val="0"/>
          <w:sz w:val="24"/>
        </w:rPr>
        <w:t>Departamento Administrativo (Área de Pasantía): Unidad encargada de la gestión financiera, presupuestaria, logística interna, control contable e inventarios. En este departamento se desenvuelve la pasante en el rol de Asistente Administrativo, brindando apoyo operativo y de control, con énfasis en el área de Procura (Compras y Logística) mediante la recepción de requerimientos, solicitud de cotizaciones, selección de proveedores y seguimiento a la adquisición oportuna de bienes, materiales y servicios esenciales.</w:t>
      </w:r>
    </w:p>
    <w:p>
      <w:pPr>
        <w:spacing w:line="360" w:lineRule="auto" w:after="0" w:before="0"/>
        <w:ind w:firstLine="709"/>
        <w:jc w:val="both"/>
      </w:pPr>
      <w:r>
        <w:rPr>
          <w:rFonts w:ascii="Times New Roman" w:hAnsi="Times New Roman"/>
          <w:i w:val="0"/>
          <w:sz w:val="24"/>
        </w:rPr>
        <w:t>Gerencia de Contratación y Administración de Contratos: Encargada del análisis de costos, estimaciones presupuestarias, planificación y control legal y operativo de las licitaciones y contratos vigentes.</w:t>
      </w:r>
    </w:p>
    <w:p>
      <w:pPr>
        <w:spacing w:line="360" w:lineRule="auto" w:after="0" w:before="0"/>
        <w:ind w:firstLine="709"/>
        <w:jc w:val="both"/>
      </w:pPr>
      <w:r>
        <w:rPr>
          <w:rFonts w:ascii="Times New Roman" w:hAnsi="Times New Roman"/>
          <w:i w:val="0"/>
          <w:sz w:val="24"/>
        </w:rPr>
        <w:t>Gerencia de Recursos Humanos y Relaciones Laborales: Dirige el reclutamiento, selección, administración de personal, nómina y la gestión del clima laboral de la empresa.</w:t>
      </w:r>
    </w:p>
    <w:p>
      <w:pPr>
        <w:spacing w:line="360" w:lineRule="auto" w:after="0" w:before="0"/>
        <w:ind w:firstLine="709"/>
        <w:jc w:val="both"/>
      </w:pPr>
      <w:r>
        <w:rPr>
          <w:rFonts w:ascii="Times New Roman" w:hAnsi="Times New Roman"/>
          <w:i w:val="0"/>
          <w:sz w:val="24"/>
        </w:rPr>
        <w:t>Gerencias Técnicas (Proyectos, Optimización, Servicios Eléctricos y Metalmecánico): Áreas especializadas dedicadas al diseño, mantenimiento, ejecución de estructuras metálicas y optimización de servicios de ingeniería en campo.</w:t>
      </w:r>
    </w:p>
    <w:p>
      <w:pPr>
        <w:spacing w:line="360" w:lineRule="auto" w:after="0" w:before="0"/>
        <w:ind w:firstLine="709"/>
        <w:jc w:val="both"/>
      </w:pPr>
      <w:r>
        <w:rPr>
          <w:rFonts w:ascii="Times New Roman" w:hAnsi="Times New Roman"/>
          <w:i w:val="0"/>
          <w:sz w:val="24"/>
        </w:rPr>
        <w:t>Coordinaciones de SIHO-A y Calidad: Unidades orientadas a garantizar la Seguridad Industrial, Higiene Ocupacional y Ambiente, asegurando el cumplimiento de normas de prevención de riesgos y estándares de calidad en las operaciones.</w:t>
      </w:r>
    </w:p>
    <w:p>
      <w:pPr>
        <w:spacing w:before="480"/>
        <w:jc w:val="center"/>
      </w:pPr>
      <w:r>
        <w:drawing>
          <wp:inline xmlns:a="http://schemas.openxmlformats.org/drawingml/2006/main" xmlns:pic="http://schemas.openxmlformats.org/drawingml/2006/picture">
            <wp:extent cx="4320000" cy="2603179"/>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603179"/>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la organización.</w:t>
      </w:r>
      <w:bookmarkEnd w:id="bm_grafico2"/>
    </w:p>
    <w:p>
      <w:pPr>
        <w:sectPr>
          <w:footerReference w:type="default" r:id="rId31"/>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2"/>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departamento administrativo de Lubricantes y Equipos Varyna, C.A., se ha identificado una situación desfavorable relacionada con la complejidad y dispersión del flujo procedimental de la procura. En la actualidad, las solicitudes de compras de materiales e insumos críticos presentan marcados retrasos debido a la ausencia de un canal formalizado de recepción, lo que ocasiona que las requisiciones no sigan una ruta clara ni simplificada de procesamiento.</w:t>
      </w:r>
    </w:p>
    <w:p>
      <w:pPr>
        <w:spacing w:line="360" w:lineRule="auto" w:after="0" w:before="0"/>
        <w:ind w:firstLine="709"/>
        <w:jc w:val="both"/>
      </w:pPr>
      <w:r>
        <w:rPr>
          <w:rFonts w:ascii="Times New Roman" w:hAnsi="Times New Roman"/>
          <w:i w:val="0"/>
          <w:sz w:val="24"/>
        </w:rPr>
        <w:t>Esta falta de estandarización y simplificación administrativa genera cuellos de botella en las instancias de aprobación, pérdida de trazabilidad en el seguimiento de las cotizaciones y tiempos prolongados para la adquisición definitiva de los insumos. Como consecuencia directa, se producen retrasos logísticos en las obras operativas y una sobrecarga de funciones correctivas en el personal de compras, haciendo necesaria una propuesta de simplificación procedimental adaptada a los estándares organizacionales vigentes.</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la simplificación administrativa del proceso de procura en el departamento administrativo de Lubricantes y Equipos Varyna, C.A., con la finalidad de reducir la complejidad procedimental, agilizar los tiempos de adquisición y fortalecer el control interno de las operaciones de compras.</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el proceso actual de procura en el departamento administrativo de la empresa para identificar los pasos y procedimientos susceptibles de simplificación.</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complejidades, redundancias y cuellos de botella presentes en las fases de seguimiento, cotización y aprobación de las adquisiciones.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las causas organizativas que generan retrasos y procedimientos innecesariamente complejos en el ciclo de adquisición de insumos y materiales.</w:t>
      </w:r>
    </w:p>
    <w:p>
      <w:pPr>
        <w:spacing w:line="360" w:lineRule="auto"/>
        <w:ind w:firstLine="709"/>
        <w:jc w:val="both"/>
      </w:pPr>
      <w:r>
        <w:rPr>
          <w:rFonts w:ascii="Times New Roman" w:hAnsi="Times New Roman"/>
          <w:sz w:val="24"/>
        </w:rPr>
        <w:t xml:space="preserve">4. </w:t>
      </w:r>
      <w:r>
        <w:rPr>
          <w:rFonts w:ascii="Times New Roman" w:hAnsi="Times New Roman"/>
          <w:sz w:val="24"/>
        </w:rPr>
        <w:t>Diseñar una propuesta de simplificación administrativa que reduzca los pasos procedimentales, agilice los tiempos de respuesta y optimice el control de la procura en el área administrativa.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propuesta de simplificación administrativa:</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el proceso actual de procura e identificar los pasos susceptibles de simplificación.</w:t>
            </w:r>
          </w:p>
        </w:tc>
        <w:tc>
          <w:tcPr>
            <w:tcW w:w="1644" w:type="dxa"/>
            <w:shd w:val="clear" w:color="auto" w:fill="FFFFFF"/>
          </w:tcPr>
          <w:p>
            <w:pPr>
              <w:spacing w:before="60" w:after="60" w:line="240" w:lineRule="auto"/>
              <w:jc w:val="both"/>
            </w:pPr>
            <w:r>
              <w:rPr>
                <w:rFonts w:ascii="Times New Roman" w:hAnsi="Times New Roman"/>
                <w:b w:val="0"/>
                <w:color w:val="000000"/>
                <w:sz w:val="20"/>
              </w:rPr>
              <w:t>Flujo procedimental y canales de recepción de solicitudes.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del ciclo de compras y entrevistas al personal.</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entrevistas.</w:t>
            </w:r>
          </w:p>
        </w:tc>
        <w:tc>
          <w:tcPr>
            <w:tcW w:w="1695" w:type="dxa"/>
            <w:shd w:val="clear" w:color="auto" w:fill="FFFFFF"/>
          </w:tcPr>
          <w:p>
            <w:pPr>
              <w:spacing w:before="60" w:after="60" w:line="240" w:lineRule="auto"/>
              <w:jc w:val="both"/>
            </w:pPr>
            <w:r>
              <w:rPr>
                <w:rFonts w:ascii="Times New Roman" w:hAnsi="Times New Roman"/>
                <w:b w:val="0"/>
                <w:color w:val="000000"/>
                <w:sz w:val="20"/>
              </w:rPr>
              <w:t>Guía de entrevista, libreta de notas de campo, computadora.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Identificar complejidades, redundancias y cuellos de botella en el seguimiento y aprobación.</w:t>
            </w:r>
          </w:p>
        </w:tc>
        <w:tc>
          <w:tcPr>
            <w:tcW w:w="1644" w:type="dxa"/>
            <w:shd w:val="clear" w:color="auto" w:fill="D9E1F2"/>
          </w:tcPr>
          <w:p>
            <w:pPr>
              <w:spacing w:before="60" w:after="60" w:line="240" w:lineRule="auto"/>
              <w:jc w:val="both"/>
            </w:pPr>
            <w:r>
              <w:rPr>
                <w:rFonts w:ascii="Times New Roman" w:hAnsi="Times New Roman"/>
                <w:b w:val="0"/>
                <w:color w:val="000000"/>
                <w:sz w:val="20"/>
              </w:rPr>
              <w:t>Tiempos de respuesta y etapas críticas del proceso de compras.</w:t>
            </w:r>
          </w:p>
        </w:tc>
        <w:tc>
          <w:tcPr>
            <w:tcW w:w="1644" w:type="dxa"/>
            <w:shd w:val="clear" w:color="auto" w:fill="D9E1F2"/>
          </w:tcPr>
          <w:p>
            <w:pPr>
              <w:spacing w:before="60" w:after="60" w:line="240" w:lineRule="auto"/>
              <w:jc w:val="both"/>
            </w:pPr>
            <w:r>
              <w:rPr>
                <w:rFonts w:ascii="Times New Roman" w:hAnsi="Times New Roman"/>
                <w:b w:val="0"/>
                <w:color w:val="000000"/>
                <w:sz w:val="20"/>
              </w:rPr>
              <w:t>Revisión de expedientes históricos y detección de fases duplicadas.</w:t>
            </w:r>
          </w:p>
        </w:tc>
        <w:tc>
          <w:tcPr>
            <w:tcW w:w="1644" w:type="dxa"/>
            <w:shd w:val="clear" w:color="auto" w:fill="D9E1F2"/>
          </w:tcPr>
          <w:p>
            <w:pPr>
              <w:spacing w:before="60" w:after="60" w:line="240" w:lineRule="auto"/>
              <w:jc w:val="both"/>
            </w:pPr>
            <w:r>
              <w:rPr>
                <w:rFonts w:ascii="Times New Roman" w:hAnsi="Times New Roman"/>
                <w:b w:val="0"/>
                <w:color w:val="000000"/>
                <w:sz w:val="20"/>
              </w:rPr>
              <w:t>Análisis documental y revisión de tiempos.</w:t>
            </w:r>
          </w:p>
        </w:tc>
        <w:tc>
          <w:tcPr>
            <w:tcW w:w="1695" w:type="dxa"/>
            <w:shd w:val="clear" w:color="auto" w:fill="D9E1F2"/>
          </w:tcPr>
          <w:p>
            <w:pPr>
              <w:spacing w:before="60" w:after="60" w:line="240" w:lineRule="auto"/>
              <w:jc w:val="both"/>
            </w:pPr>
            <w:r>
              <w:rPr>
                <w:rFonts w:ascii="Times New Roman" w:hAnsi="Times New Roman"/>
                <w:b w:val="0"/>
                <w:color w:val="000000"/>
                <w:sz w:val="20"/>
              </w:rPr>
              <w:t>Hojas de registro, histórico de órdenes de compra, software de oficina.</w:t>
            </w:r>
          </w:p>
        </w:tc>
      </w:tr>
      <w:tr>
        <w:tc>
          <w:tcPr>
            <w:tcW w:w="1644" w:type="dxa"/>
            <w:shd w:val="clear" w:color="auto" w:fill="FFFFFF"/>
          </w:tcPr>
          <w:p>
            <w:pPr>
              <w:spacing w:before="60" w:after="60" w:line="240" w:lineRule="auto"/>
              <w:jc w:val="both"/>
            </w:pPr>
            <w:r>
              <w:rPr>
                <w:rFonts w:ascii="Times New Roman" w:hAnsi="Times New Roman"/>
                <w:b w:val="0"/>
                <w:color w:val="000000"/>
                <w:sz w:val="20"/>
              </w:rPr>
              <w:t>Analizar las causas organizativas que generan procedimientos innecesariamente complejos.</w:t>
            </w:r>
          </w:p>
        </w:tc>
        <w:tc>
          <w:tcPr>
            <w:tcW w:w="1644" w:type="dxa"/>
            <w:shd w:val="clear" w:color="auto" w:fill="FFFFFF"/>
          </w:tcPr>
          <w:p>
            <w:pPr>
              <w:spacing w:before="60" w:after="60" w:line="240" w:lineRule="auto"/>
              <w:jc w:val="both"/>
            </w:pPr>
            <w:r>
              <w:rPr>
                <w:rFonts w:ascii="Times New Roman" w:hAnsi="Times New Roman"/>
                <w:b w:val="0"/>
                <w:color w:val="000000"/>
                <w:sz w:val="20"/>
              </w:rPr>
              <w:t>Factores determinantes de demoras y redundancias.</w:t>
            </w:r>
          </w:p>
        </w:tc>
        <w:tc>
          <w:tcPr>
            <w:tcW w:w="1644" w:type="dxa"/>
            <w:shd w:val="clear" w:color="auto" w:fill="FFFFFF"/>
          </w:tcPr>
          <w:p>
            <w:pPr>
              <w:spacing w:before="60" w:after="60" w:line="240" w:lineRule="auto"/>
              <w:jc w:val="both"/>
            </w:pPr>
            <w:r>
              <w:rPr>
                <w:rFonts w:ascii="Times New Roman" w:hAnsi="Times New Roman"/>
                <w:b w:val="0"/>
                <w:color w:val="000000"/>
                <w:sz w:val="20"/>
              </w:rPr>
              <w:t>Clasificación analítica de causas mediante mesas de trabajo con la administración.</w:t>
            </w:r>
          </w:p>
        </w:tc>
        <w:tc>
          <w:tcPr>
            <w:tcW w:w="1644" w:type="dxa"/>
            <w:shd w:val="clear" w:color="auto" w:fill="FFFFFF"/>
          </w:tcPr>
          <w:p>
            <w:pPr>
              <w:spacing w:before="60" w:after="60" w:line="240" w:lineRule="auto"/>
              <w:jc w:val="both"/>
            </w:pPr>
            <w:r>
              <w:rPr>
                <w:rFonts w:ascii="Times New Roman" w:hAnsi="Times New Roman"/>
                <w:b w:val="0"/>
                <w:color w:val="000000"/>
                <w:sz w:val="20"/>
              </w:rPr>
              <w:t>Diagrama causa-efecto y jerarquización de factores.</w:t>
            </w:r>
          </w:p>
        </w:tc>
        <w:tc>
          <w:tcPr>
            <w:tcW w:w="1695" w:type="dxa"/>
            <w:shd w:val="clear" w:color="auto" w:fill="FFFFFF"/>
          </w:tcPr>
          <w:p>
            <w:pPr>
              <w:spacing w:before="60" w:after="60" w:line="240" w:lineRule="auto"/>
              <w:jc w:val="both"/>
            </w:pPr>
            <w:r>
              <w:rPr>
                <w:rFonts w:ascii="Times New Roman" w:hAnsi="Times New Roman"/>
                <w:b w:val="0"/>
                <w:color w:val="000000"/>
                <w:sz w:val="20"/>
              </w:rPr>
              <w:t>Material de papelería, marco de control de procesos.</w:t>
            </w:r>
          </w:p>
        </w:tc>
      </w:tr>
      <w:tr>
        <w:tc>
          <w:tcPr>
            <w:tcW w:w="1644" w:type="dxa"/>
            <w:shd w:val="clear" w:color="auto" w:fill="D9E1F2"/>
          </w:tcPr>
          <w:p>
            <w:pPr>
              <w:spacing w:before="60" w:after="60" w:line="240" w:lineRule="auto"/>
              <w:jc w:val="both"/>
            </w:pPr>
            <w:r>
              <w:rPr>
                <w:rFonts w:ascii="Times New Roman" w:hAnsi="Times New Roman"/>
                <w:b w:val="0"/>
                <w:color w:val="000000"/>
                <w:sz w:val="20"/>
              </w:rPr>
              <w:t>Diseñar una propuesta de simplificación administrativa para el control de la procura.</w:t>
            </w:r>
          </w:p>
        </w:tc>
        <w:tc>
          <w:tcPr>
            <w:tcW w:w="1644" w:type="dxa"/>
            <w:shd w:val="clear" w:color="auto" w:fill="D9E1F2"/>
          </w:tcPr>
          <w:p>
            <w:pPr>
              <w:spacing w:before="60" w:after="60" w:line="240" w:lineRule="auto"/>
              <w:jc w:val="both"/>
            </w:pPr>
            <w:r>
              <w:rPr>
                <w:rFonts w:ascii="Times New Roman" w:hAnsi="Times New Roman"/>
                <w:b w:val="0"/>
                <w:color w:val="000000"/>
                <w:sz w:val="20"/>
              </w:rPr>
              <w:t>Flujo de trabajo y formatos de control de la procura.</w:t>
            </w:r>
          </w:p>
        </w:tc>
        <w:tc>
          <w:tcPr>
            <w:tcW w:w="1644" w:type="dxa"/>
            <w:shd w:val="clear" w:color="auto" w:fill="D9E1F2"/>
          </w:tcPr>
          <w:p>
            <w:pPr>
              <w:spacing w:before="60" w:after="60" w:line="240" w:lineRule="auto"/>
              <w:jc w:val="both"/>
            </w:pPr>
            <w:r>
              <w:rPr>
                <w:rFonts w:ascii="Times New Roman" w:hAnsi="Times New Roman"/>
                <w:b w:val="0"/>
                <w:color w:val="000000"/>
                <w:sz w:val="20"/>
              </w:rPr>
              <w:t>Redacción del nuevo flujo simplificado y diseño de plantillas estandarizadas.</w:t>
            </w:r>
          </w:p>
        </w:tc>
        <w:tc>
          <w:tcPr>
            <w:tcW w:w="1644" w:type="dxa"/>
            <w:shd w:val="clear" w:color="auto" w:fill="D9E1F2"/>
          </w:tcPr>
          <w:p>
            <w:pPr>
              <w:spacing w:before="60" w:after="60" w:line="240" w:lineRule="auto"/>
              <w:jc w:val="both"/>
            </w:pPr>
            <w:r>
              <w:rPr>
                <w:rFonts w:ascii="Times New Roman" w:hAnsi="Times New Roman"/>
                <w:b w:val="0"/>
                <w:color w:val="000000"/>
                <w:sz w:val="20"/>
              </w:rPr>
              <w:t>Diseño procedimental y estandarización de formatos.</w:t>
            </w:r>
          </w:p>
        </w:tc>
        <w:tc>
          <w:tcPr>
            <w:tcW w:w="1695" w:type="dxa"/>
            <w:shd w:val="clear" w:color="auto" w:fill="D9E1F2"/>
          </w:tcPr>
          <w:p>
            <w:pPr>
              <w:spacing w:before="60" w:after="60" w:line="240" w:lineRule="auto"/>
              <w:jc w:val="both"/>
            </w:pPr>
            <w:r>
              <w:rPr>
                <w:rFonts w:ascii="Times New Roman" w:hAnsi="Times New Roman"/>
                <w:b w:val="0"/>
                <w:color w:val="000000"/>
                <w:sz w:val="20"/>
              </w:rPr>
              <w:t>Procesador de texto, guías metodológicas de administración.</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diseño de la propuesta,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1046" w:type="dxa"/>
            <w:gridSpan w:val="2"/>
            <w:shd w:val="clear" w:color="auto" w:fill="4472C4"/>
          </w:tcPr>
          <w:p>
            <w:pPr>
              <w:spacing w:before="60" w:after="60" w:line="240" w:lineRule="auto"/>
              <w:jc w:val="center"/>
            </w:pPr>
            <w:r>
              <w:rPr>
                <w:rFonts w:ascii="Times New Roman" w:hAnsi="Times New Roman"/>
                <w:b/>
                <w:color w:val="FFFFFF"/>
                <w:sz w:val="20"/>
              </w:rPr>
              <w:t>AGOSTO</w:t>
            </w:r>
          </w:p>
        </w:tc>
      </w:tr>
      <w:tr>
        <w:tc>
          <w:tcPr>
            <w:tcW w:w="3033"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r>
      <w:tr>
        <w:tc>
          <w:tcPr>
            <w:tcW w:w="3033" w:type="dxa"/>
            <w:shd w:val="clear" w:color="auto" w:fill="D9E1F2"/>
          </w:tcPr>
          <w:p>
            <w:pPr>
              <w:spacing w:before="60" w:after="60" w:line="240" w:lineRule="auto"/>
              <w:jc w:val="both"/>
            </w:pPr>
            <w:r>
              <w:rPr>
                <w:rFonts w:ascii="Times New Roman" w:hAnsi="Times New Roman"/>
                <w:b w:val="0"/>
                <w:color w:val="000000"/>
                <w:sz w:val="20"/>
              </w:rPr>
              <w:t>Reconocimiento del departamento y levantamiento del flujo actual de procura.</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Aplicación de entrevistas y detección de cuellos de botella en las aprobaciones.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Análisis cuantitativo y cualitativo de causas de retraso en el ciclo de compras.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Diseño del nuevo flujo optimizado, roles y plantillas de control.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Redacción y validación de la propuesta de mejora procedimental.</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Presentación formal de la propuesta a la gerencia y ajustes finales.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D9E1F2"/>
          </w:tcPr>
          <w:p>
            <w:pPr>
              <w:spacing w:before="60" w:after="60" w:line="240" w:lineRule="auto"/>
              <w:jc w:val="both"/>
            </w:pPr>
            <w:r>
              <w:rPr>
                <w:rFonts w:ascii="Times New Roman" w:hAnsi="Times New Roman"/>
                <w:b w:val="0"/>
                <w:color w:val="000000"/>
                <w:sz w:val="20"/>
              </w:rPr>
              <w:t>Inducción institucional y familiarización con el sistema de compras vigente.</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Apoyo en la recepción y tramitación de solicitudes de compra del departamento.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Seguimiento a cotizaciones y actualización de expedientes de proveedores.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Apoyo en el cierre administrativo del período y archivo de órdenes de compra.</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3"/>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34"/>
          <w:pgSz w:w="12240" w:h="15840"/>
          <w:pgMar w:top="1701" w:right="1701" w:bottom="1701" w:left="2268" w:header="720" w:footer="720" w:gutter="0"/>
          <w:cols w:space="720"/>
          <w:titlePg/>
          <w:docGrid w:linePitch="360"/>
        </w:sectPr>
      </w:pPr>
    </w:p>
    <w:p>
      <w:bookmarkStart w:id="bm_cap3_bases" w:name="bm_cap3_bases"/>
      <w:pPr>
        <w:spacing w:before="480" w:after="480" w:line="360" w:lineRule="auto"/>
        <w:jc w:val="left"/>
      </w:pPr>
      <w:r>
        <w:rPr>
          <w:rFonts w:ascii="Times New Roman" w:hAnsi="Times New Roman"/>
          <w:b/>
          <w:sz w:val="24"/>
        </w:rPr>
        <w:t>Procura y Gestión de Compras</w:t>
      </w:r>
      <w:bookmarkEnd w:id="bm_cap3_bases"/>
    </w:p>
    <w:p>
      <w:pPr>
        <w:spacing w:line="360" w:lineRule="auto" w:after="0" w:before="0"/>
        <w:ind w:firstLine="709"/>
        <w:jc w:val="both"/>
      </w:pPr>
      <w:r>
        <w:rPr>
          <w:rFonts w:ascii="Times New Roman" w:hAnsi="Times New Roman"/>
          <w:i w:val="0"/>
          <w:sz w:val="24"/>
        </w:rPr>
        <w:t>La procura se define como el conjunto de actividades orientadas a la adquisición de bienes, materiales e insumos necesarios para el funcionamiento continuo de una organización. Monterroso (2002) establece que la gestión de abastecimiento eficiente no se limita a la ejecución de compras, sino que abarca la planificación de necesidades, la selección de proveedores, la negociación de condiciones y el control del cumplimiento de los requerimientos en tiempo, calidad y costo.</w:t>
      </w:r>
    </w:p>
    <w:p>
      <w:pPr>
        <w:spacing w:line="360" w:lineRule="auto" w:after="0" w:before="0"/>
        <w:ind w:firstLine="709"/>
        <w:jc w:val="both"/>
      </w:pPr>
      <w:r>
        <w:rPr>
          <w:rFonts w:ascii="Times New Roman" w:hAnsi="Times New Roman"/>
          <w:i w:val="0"/>
          <w:sz w:val="24"/>
        </w:rPr>
        <w:t>Lo anterior cobra especial relevancia en el contexto de Lubricantes y Equipos Varyna, C.A., donde la procura constituye una función crítica para sostener las operaciones industriales y de campo. Durante el diagnóstico realizado, se pudo constatar que el departamento administrativo no cuenta con un canal formalizado de recepción de requisiciones, lo que impide que el proceso de abastecimiento se desarrolle de forma planificada y controlada tal como lo exige la teoría. En criterio de quien suscribe, esta ausencia de estructura procedimental es la causa raíz de los retrasos identificados, por encima incluso de factores humanos o tecnológicos.</w:t>
      </w:r>
    </w:p>
    <w:p>
      <w:pPr>
        <w:spacing w:line="360" w:lineRule="auto" w:after="0" w:before="0"/>
        <w:ind w:firstLine="709"/>
        <w:jc w:val="both"/>
      </w:pPr>
      <w:r>
        <w:rPr>
          <w:rFonts w:ascii="Times New Roman" w:hAnsi="Times New Roman"/>
          <w:i w:val="0"/>
          <w:sz w:val="24"/>
        </w:rPr>
        <w:t>Comprender la procura desde esta perspectiva teórica es el punto de partida indispensable para cualquier propuesta de mejora, pues permite identificar con precisión en cuáles fases del ciclo se concentran las ineficiencias. Para ello, resulta igualmente necesario examinar el marco administrativo general que debe regir la gestión de cualquier proceso organizacional, tal como se desarrolla en el apartado siguiente.</w:t>
      </w:r>
    </w:p>
    <w:p>
      <w:pPr>
        <w:spacing w:line="240" w:lineRule="auto" w:before="720" w:after="240"/>
        <w:ind w:left="709" w:right="709"/>
        <w:jc w:val="both"/>
      </w:pPr>
      <w:r>
        <w:rPr>
          <w:rFonts w:ascii="Times New Roman" w:hAnsi="Times New Roman"/>
          <w:sz w:val="24"/>
        </w:rPr>
        <w:t>La gestión de compras y abastecimiento comprende un conjunto de actividades que permiten identificar las necesidades de materiales e insumos de la organización, seleccionar adecuadamente a los proveedores, negociar las condiciones de adquisición más convenientes y asegurar que los bienes requeridos lleguen en las cantidades correctas, en el momento oportuno y al menor costo posible, contribuyendo directamente a la eficiencia operativa de la empresa.</w:t>
      </w:r>
      <w:r>
        <w:rPr>
          <w:rFonts w:ascii="Times New Roman" w:hAnsi="Times New Roman"/>
          <w:sz w:val="24"/>
        </w:rPr>
        <w:t xml:space="preserve"> (Monterroso, 2002, p. 3)</w:t>
      </w:r>
    </w:p>
    <w:p>
      <w:pPr>
        <w:spacing w:line="360" w:lineRule="auto" w:after="0" w:before="0"/>
        <w:ind w:firstLine="709"/>
        <w:jc w:val="both"/>
      </w:pPr>
      <w:r>
        <w:rPr>
          <w:rFonts w:ascii="Times New Roman" w:hAnsi="Times New Roman"/>
          <w:i w:val="0"/>
          <w:sz w:val="24"/>
        </w:rPr>
        <w:t>El planteamiento de Monterroso permite comprender que la ineficiencia en la procura de Lubricantes y Equipos Varyna, C.A. no es un problema aislado de demoras puntuales, sino una consecuencia directa de la ausencia de un sistema estructurado de abastecimiento. La propuesta de simplificación administrativa desarrollada en el presente trabajo parte precisamente de este enfoque: antes de simplificar tiempos, es necesario formalizar el proceso.</w:t>
      </w:r>
    </w:p>
    <w:p>
      <w:pPr>
        <w:spacing w:before="480" w:after="480" w:line="360" w:lineRule="auto"/>
        <w:jc w:val="left"/>
      </w:pPr>
      <w:r>
        <w:rPr>
          <w:rFonts w:ascii="Times New Roman" w:hAnsi="Times New Roman"/>
          <w:b/>
          <w:sz w:val="24"/>
        </w:rPr>
        <w:t>Proceso Administrativo</w:t>
      </w:r>
    </w:p>
    <w:p>
      <w:pPr>
        <w:spacing w:line="360" w:lineRule="auto" w:after="0" w:before="0"/>
        <w:ind w:firstLine="709"/>
        <w:jc w:val="both"/>
      </w:pPr>
      <w:r>
        <w:rPr>
          <w:rFonts w:ascii="Times New Roman" w:hAnsi="Times New Roman"/>
          <w:i w:val="0"/>
          <w:sz w:val="24"/>
        </w:rPr>
        <w:t>El proceso administrativo constituye el marco conceptual fundamental que rige el funcionamiento de las organizaciones modernas. Chiavenato (2006) lo describe como el conjunto secuencial e interrelacionado de funciones de planificación, organización, dirección y control, orientadas al logro eficiente de los objetivos organizacionales mediante el uso racional de los recursos disponibles.</w:t>
      </w:r>
    </w:p>
    <w:p>
      <w:pPr>
        <w:spacing w:line="360" w:lineRule="auto" w:after="0" w:before="0"/>
        <w:ind w:firstLine="709"/>
        <w:jc w:val="both"/>
      </w:pPr>
      <w:r>
        <w:rPr>
          <w:rFonts w:ascii="Times New Roman" w:hAnsi="Times New Roman"/>
          <w:i w:val="0"/>
          <w:sz w:val="24"/>
        </w:rPr>
        <w:t>Aplicado al contexto de la procura, el proceso administrativo provee la estructura metodológica necesaria para formalizar cada etapa del ciclo de compras. La planificación define las necesidades y tiempos de adquisición; la organización asigna responsabilidades claras a cada actor del proceso; la dirección asegura la ejecución coordinada de las actividades; y el control verifica el cumplimiento de los procedimientos y detecta desviaciones que requieren corrección.</w:t>
      </w:r>
    </w:p>
    <w:p>
      <w:pPr>
        <w:spacing w:line="360" w:lineRule="auto" w:after="0" w:before="0"/>
        <w:ind w:firstLine="709"/>
        <w:jc w:val="both"/>
      </w:pPr>
      <w:r>
        <w:rPr>
          <w:rFonts w:ascii="Times New Roman" w:hAnsi="Times New Roman"/>
          <w:i w:val="0"/>
          <w:sz w:val="24"/>
        </w:rPr>
        <w:t>Durante la observación directa realizada en Lubricantes y Equipos Varyna, C.A., se evidenció que ninguna de estas cuatro funciones se ejecuta de manera formal dentro del ciclo de compras. Las requisiciones se reciben sin planificación previa, las responsabilidades no están escritas ni asignadas con claridad, y no existe un mecanismo de control que permita detectar en qué fase se detiene cada expediente. Desde la perspectiva de quien elabora este trabajo, la ausencia del proceso administrativo como eje rector es lo que convierte un procedimiento que debería ser simple en una secuencia compleja y propensa a errores. La propuesta de simplificación desarrollada en los capítulos siguientes busca precisamente instaurar estas cuatro funciones de forma explícita dentro del nuevo flujo de procura. Para que dicho control sea efectivo, es necesario además comprender los mecanismos de control interno aplicables específicamente al área de compras, como se expone a continuación.</w:t>
      </w:r>
    </w:p>
    <w:p>
      <w:pPr>
        <w:spacing w:before="480" w:after="480" w:line="360" w:lineRule="auto"/>
        <w:jc w:val="left"/>
      </w:pPr>
      <w:r>
        <w:rPr>
          <w:rFonts w:ascii="Times New Roman" w:hAnsi="Times New Roman"/>
          <w:b/>
          <w:sz w:val="24"/>
        </w:rPr>
        <w:t>Control Interno en los Procesos de Compras</w:t>
      </w:r>
    </w:p>
    <w:p>
      <w:pPr>
        <w:spacing w:line="360" w:lineRule="auto" w:after="0" w:before="0"/>
        <w:ind w:firstLine="709"/>
        <w:jc w:val="both"/>
      </w:pPr>
      <w:r>
        <w:rPr>
          <w:rFonts w:ascii="Times New Roman" w:hAnsi="Times New Roman"/>
          <w:i w:val="0"/>
          <w:sz w:val="24"/>
        </w:rPr>
        <w:t>El control interno se define como el proceso diseñado e implementado por la dirección de una organización para proporcionar una seguridad razonable sobre la consecución de los objetivos en las categorías de eficiencia operativa, confiabilidad de la información financiera y cumplimiento de las normas aplicables. Mantilla (2005) señala que un sistema de control interno robusto en el área de compras minimiza los riesgos de fraude, duplicidad de pagos y adquisiciones no autorizadas.</w:t>
      </w:r>
    </w:p>
    <w:p>
      <w:pPr>
        <w:spacing w:line="360" w:lineRule="auto" w:after="0" w:before="0"/>
        <w:ind w:firstLine="709"/>
        <w:jc w:val="both"/>
      </w:pPr>
      <w:r>
        <w:rPr>
          <w:rFonts w:ascii="Times New Roman" w:hAnsi="Times New Roman"/>
          <w:i w:val="0"/>
          <w:sz w:val="24"/>
        </w:rPr>
        <w:t>En el proceso de procura de Lubricantes y Equipos Varyna, C.A., el fortalecimiento del control interno implica la definición de niveles de autorización por monto de compra, la implementación de formularios estandarizados de solicitud y la trazabilidad documental de cada expediente desde la requisición hasta la orden de compra cerrada. Estas medidas reducen la discrecionalidad en las decisiones de adquisición y aumentan la transparencia del proceso.</w:t>
      </w:r>
    </w:p>
    <w:p>
      <w:pPr>
        <w:spacing w:line="360" w:lineRule="auto" w:after="0" w:before="0"/>
        <w:ind w:firstLine="709"/>
        <w:jc w:val="both"/>
      </w:pPr>
      <w:r>
        <w:rPr>
          <w:rFonts w:ascii="Times New Roman" w:hAnsi="Times New Roman"/>
          <w:i w:val="0"/>
          <w:sz w:val="24"/>
        </w:rPr>
        <w:t>A juicio de quien suscribe, el control interno no debe entenderse como una carga burocrática adicional, sino como la garantía de que cada paso del proceso de compras tiene un propósito definido y un responsable identificable. En Lubricantes y Equipos Varyna, C.A., la inexistencia de niveles de autorización formales ha generado que decisiones de adquisición recaigan de manera discrecional sobre el personal disponible en el momento, sin criterios objetivos ni registros verificables. Incorporar mecanismos de control interno dentro del nuevo procedimiento simplificado no agrega complejidad al proceso, sino que le otorga la transparencia y trazabilidad que actualmente le faltan. Este enfoque de control se articula directamente con la noción de simplificación administrativa que fundamenta la propuesta, concepto que se desarrolla en el siguiente apartado.</w:t>
      </w:r>
    </w:p>
    <w:p>
      <w:pPr>
        <w:spacing w:before="480" w:after="480" w:line="360" w:lineRule="auto"/>
        <w:jc w:val="left"/>
      </w:pPr>
      <w:r>
        <w:rPr>
          <w:rFonts w:ascii="Times New Roman" w:hAnsi="Times New Roman"/>
          <w:b/>
          <w:sz w:val="24"/>
        </w:rPr>
        <w:t>Simplificación Administrativa de Procesos</w:t>
      </w:r>
    </w:p>
    <w:p>
      <w:pPr>
        <w:spacing w:line="360" w:lineRule="auto" w:after="0" w:before="0"/>
        <w:ind w:firstLine="709"/>
        <w:jc w:val="both"/>
      </w:pPr>
      <w:r>
        <w:rPr>
          <w:rFonts w:ascii="Times New Roman" w:hAnsi="Times New Roman"/>
          <w:i w:val="0"/>
          <w:sz w:val="24"/>
        </w:rPr>
        <w:t>La simplificación administrativa consiste en la revisión sistemática y el rediseño de los procedimientos organizacionales con el propósito de eliminar pasos innecesarios, reducir la burocracia interna y facilitar la ejecución ágil de las operaciones. Según Harrington (1993), un proceso simplificado debe ser comprensible para todos los actores involucrados, ejecutable con el menor número de pasos posible y orientado a resultados medibles y verificables.</w:t>
      </w:r>
    </w:p>
    <w:p>
      <w:pPr>
        <w:spacing w:line="360" w:lineRule="auto" w:after="0" w:before="0"/>
        <w:ind w:firstLine="709"/>
        <w:jc w:val="both"/>
      </w:pPr>
      <w:r>
        <w:rPr>
          <w:rFonts w:ascii="Times New Roman" w:hAnsi="Times New Roman"/>
          <w:i w:val="0"/>
          <w:sz w:val="24"/>
        </w:rPr>
        <w:t>En el ámbito de la administración de compras, la simplificación procedimental se traduce en la reducción de los ciclos de aprobación, la unificación de los formatos de cotización y la clarificación de los roles y responsabilidades de cada actor. El resultado esperado es una disminución verificable de los tiempos de respuesta en la adquisición de insumos y una mayor capacidad de la organización para atender sus necesidades de abastecimiento de forma oportuna y transparente.</w:t>
      </w:r>
    </w:p>
    <w:p>
      <w:pPr>
        <w:spacing w:line="360" w:lineRule="auto" w:after="0" w:before="0"/>
        <w:ind w:firstLine="709"/>
        <w:jc w:val="both"/>
      </w:pPr>
      <w:r>
        <w:rPr>
          <w:rFonts w:ascii="Times New Roman" w:hAnsi="Times New Roman"/>
          <w:i w:val="0"/>
          <w:sz w:val="24"/>
        </w:rPr>
        <w:t>Esta definición describe con precisión la situación identificada en Lubricantes y Equipos Varyna, C.A.: un proceso que ha crecido en pasos y actores sin que ninguno de esos añadidos haya sido diseñado intencionalmente, sino como respuesta improvisada a contingencias operativas. Quien elabora este trabajo considera que la simplificación no implica eliminar controles, sino eliminar redundancias; no significa reducir responsabilidades, sino clarificarlas. El nuevo flujo propuesto en el Capítulo V parte de este principio, identificando los pasos estrictamente necesarios para que una requisición se convierta en una orden de compra cerrada sin demoras innecesarias. Para que esta propuesta sea metodológicamente válida dentro del ámbito académico, debe enmarcarse además en la modalidad de investigación correspondiente, la cual se explica en el apartado final de este capítulo.</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la comprobación de la viabilidad técnica y operativa de la solución planteada, sustentada en un diagnóstico de campo que evidencie la situación deficitaria que da origen a la propuesta.</w:t>
      </w:r>
    </w:p>
    <w:p>
      <w:pPr>
        <w:spacing w:line="360" w:lineRule="auto" w:after="0" w:before="0"/>
        <w:ind w:firstLine="709"/>
        <w:jc w:val="both"/>
      </w:pPr>
      <w:r>
        <w:rPr>
          <w:rFonts w:ascii="Times New Roman" w:hAnsi="Times New Roman"/>
          <w:i w:val="0"/>
          <w:sz w:val="24"/>
        </w:rPr>
        <w:t>Arias (2012) complementa esta definición señalando que el proyecto factible avanza hasta proponer y, en muchos casos, desarrollar la solución, demostrando su aplicabilidad en el contexto real. El presente trabajo se enmarca en esta modalidad al partir del diagnóstico del proceso de procura en Lubricantes y Equipos Varyna, C.A., para proponer un conjunto de mejoras procedimentales cuya implementación es técnica y operativamente viable para la organización.</w:t>
      </w:r>
    </w:p>
    <w:p>
      <w:pPr>
        <w:spacing w:line="360" w:lineRule="auto" w:after="0" w:before="0"/>
        <w:ind w:firstLine="709"/>
        <w:jc w:val="both"/>
      </w:pPr>
      <w:r>
        <w:rPr>
          <w:rFonts w:ascii="Times New Roman" w:hAnsi="Times New Roman"/>
          <w:i w:val="0"/>
          <w:sz w:val="24"/>
        </w:rPr>
        <w:t>Desde la perspectiva de quien elabora este informe, la elección del proyecto factible como modalidad de investigación responde no solo a un criterio metodológico, sino a una convicción práctica: los problemas administrativos reales requieren soluciones concretas y aplicables, no únicamente diagnósticos descriptivos. El levantamiento de información realizado durante las semanas de pasantía, las entrevistas al personal, el análisis de expedientes históricos y el diseño de los nuevos formatos y flujos de trabajo constituyen evidencia suficiente de la viabilidad de la propuesta en el entorno específico de la empresa. En conjunto, los cinco fundamentos teóricos desarrollados en este capítulo —procura, proceso administrativo, control interno, simplificación administrativa y proyecto factible— conforman el marco conceptual que sustenta y orienta cada decisión tomada en el diseño de la propuesta presentada en este trabajo.</w:t>
      </w:r>
    </w:p>
    <w:p>
      <w:pPr>
        <w:sectPr>
          <w:footerReference w:type="default" r:id="rId35"/>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IV</w:t>
      </w:r>
    </w:p>
    <w:p>
      <w:bookmarkStart w:id="bm_cap4" w:name="bm_cap4"/>
      <w:pPr>
        <w:spacing w:before="480"/>
        <w:jc w:val="center"/>
      </w:pPr>
      <w:r>
        <w:rPr>
          <w:rFonts w:ascii="Times New Roman" w:hAnsi="Times New Roman"/>
          <w:b/>
          <w:sz w:val="24"/>
        </w:rPr>
        <w:t>ACTIVIDADES REALIZADAS</w:t>
      </w:r>
      <w:bookmarkEnd w:id="bm_cap4"/>
    </w:p>
    <w:p>
      <w:pPr>
        <w:sectPr>
          <w:footerReference w:type="default" r:id="rId36"/>
          <w:pgSz w:w="12240" w:h="15840"/>
          <w:pgMar w:top="1701" w:right="1701" w:bottom="1701" w:left="2268" w:header="720" w:footer="720" w:gutter="0"/>
          <w:cols w:space="720"/>
          <w:titlePg/>
          <w:docGrid w:linePitch="360"/>
        </w:sectPr>
      </w:pPr>
    </w:p>
    <w:p>
      <w:bookmarkStart w:id="bm_cap4_desc" w:name="bm_cap4_desc"/>
      <w:pPr>
        <w:spacing w:before="480" w:after="480" w:line="360" w:lineRule="auto"/>
        <w:jc w:val="left"/>
      </w:pPr>
      <w:r>
        <w:rPr>
          <w:rFonts w:ascii="Times New Roman" w:hAnsi="Times New Roman"/>
          <w:b/>
          <w:sz w:val="24"/>
        </w:rPr>
        <w:t>Descripción de Actividades Ejecutadas por Semana</w:t>
      </w:r>
      <w:bookmarkEnd w:id="bm_cap4_desc"/>
    </w:p>
    <w:p>
      <w:pPr>
        <w:spacing w:line="360" w:lineRule="auto" w:after="0" w:before="0"/>
        <w:ind w:firstLine="709"/>
        <w:jc w:val="both"/>
      </w:pPr>
      <w:r>
        <w:rPr>
          <w:rFonts w:ascii="Times New Roman" w:hAnsi="Times New Roman"/>
          <w:i w:val="0"/>
          <w:sz w:val="24"/>
        </w:rPr>
        <w:t>Durante las diez (10) semanas de práctica profesional, se ejecutaron fases sucesivas de diagnóstico, análisis y diseño de la propuesta de simplificación administrativa:</w:t>
      </w:r>
    </w:p>
    <w:p>
      <w:pPr>
        <w:spacing w:before="480" w:after="480" w:line="360" w:lineRule="auto"/>
        <w:jc w:val="left"/>
      </w:pPr>
      <w:r>
        <w:rPr>
          <w:rFonts w:ascii="Times New Roman" w:hAnsi="Times New Roman"/>
          <w:b/>
          <w:sz w:val="24"/>
        </w:rPr>
        <w:t>Semana 1</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Inducción institucional, recorrido por las instalaciones, presentación ante el equipo del departamento administrativo y familiarización con los procedimientos generales de la empresa y el área de procura.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Observación directa del flujo procedimental de las solicitudes de compra, identificación preliminar de las etapas del ciclo de procura y formulación inicial de la situación problemática en términos de complejidad administrativa.</w:t>
      </w:r>
    </w:p>
    <w:p>
      <w:pPr>
        <w:spacing w:before="480" w:after="480" w:line="360" w:lineRule="auto"/>
        <w:jc w:val="left"/>
      </w:pPr>
      <w:r>
        <w:rPr>
          <w:rFonts w:ascii="Times New Roman" w:hAnsi="Times New Roman"/>
          <w:b/>
          <w:sz w:val="24"/>
        </w:rPr>
        <w:t>Semana 2</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recepción, clasificación y registro de solicitudes de compra pendientes, y familiarización con el sistema de seguimiento de cotizaciones vigente en el departamento.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Levantamiento detallado del flujo secuencial de las adquisiciones mediante entrevistas informales al personal encargado y elaboración del mapeo situacional del proceso actual.</w:t>
      </w:r>
    </w:p>
    <w:p>
      <w:pPr>
        <w:spacing w:before="480" w:after="480" w:line="360" w:lineRule="auto"/>
        <w:jc w:val="left"/>
      </w:pPr>
      <w:r>
        <w:rPr>
          <w:rFonts w:ascii="Times New Roman" w:hAnsi="Times New Roman"/>
          <w:b/>
          <w:sz w:val="24"/>
        </w:rPr>
        <w:t>Semana 3</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tramitación de requisiciones de materiales e insumos, apoyo en la comunicación con proveedores y actualización del registro de cotizaciones en proceso.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Aplicación de guía de entrevista estructurada al personal de compras y administración para identificar los cuellos de botella en las fases de seguimiento y aprobación.</w:t>
      </w:r>
    </w:p>
    <w:p>
      <w:pPr>
        <w:spacing w:before="480" w:after="480" w:line="360" w:lineRule="auto"/>
        <w:jc w:val="left"/>
      </w:pPr>
      <w:r>
        <w:rPr>
          <w:rFonts w:ascii="Times New Roman" w:hAnsi="Times New Roman"/>
          <w:b/>
          <w:sz w:val="24"/>
        </w:rPr>
        <w:t>Semana 4</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el seguimiento de órdenes de compra abiertas, verificación del estatus de cotizaciones pendientes de respuesta y actualización del registro de proveedores activos.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Revisión y análisis de expedientes históricos de compras para determinar los tiempos promedio de respuesta en cada fase del ciclo de adquisición e identificación de las etapas críticas.</w:t>
      </w:r>
    </w:p>
    <w:p>
      <w:pPr>
        <w:spacing w:before="480" w:after="480" w:line="360" w:lineRule="auto"/>
        <w:jc w:val="left"/>
      </w:pPr>
      <w:r>
        <w:rPr>
          <w:rFonts w:ascii="Times New Roman" w:hAnsi="Times New Roman"/>
          <w:b/>
          <w:sz w:val="24"/>
        </w:rPr>
        <w:t>Semana 5</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Tramitación de solicitudes de compra recibidas durante la semana, apoyo en la elaboración de cuadros comparativos de cotizaciones y actualización de la base de proveedores.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Análisis cualitativo y cuantitativo de las causas organizativas que generan retrasos mediante diagramas causa-efecto y clasificación jerárquica de los factores determinantes.</w:t>
      </w:r>
    </w:p>
    <w:p>
      <w:pPr>
        <w:spacing w:before="480" w:after="480" w:line="360" w:lineRule="auto"/>
        <w:jc w:val="left"/>
      </w:pPr>
      <w:r>
        <w:rPr>
          <w:rFonts w:ascii="Times New Roman" w:hAnsi="Times New Roman"/>
          <w:b/>
          <w:sz w:val="24"/>
        </w:rPr>
        <w:t>Semana 6</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el seguimiento a cotizaciones pendientes de aprobación gerencial y apoyo en la actualización de expedientes de compras activos del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del nuevo flujo de trabajo simplificado para el proceso de procura, con reducción de pasos, definición de puntos de control, responsables de cada etapa y tiempos máximos de respuesta por fase.</w:t>
      </w:r>
    </w:p>
    <w:p>
      <w:pPr>
        <w:spacing w:before="480" w:after="480" w:line="360" w:lineRule="auto"/>
        <w:jc w:val="left"/>
      </w:pPr>
      <w:r>
        <w:rPr>
          <w:rFonts w:ascii="Times New Roman" w:hAnsi="Times New Roman"/>
          <w:b/>
          <w:sz w:val="24"/>
        </w:rPr>
        <w:t>Semana 7</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recepción y procesamiento de requisiciones urgentes del período, y colaboración en la verificación de disponibilidad presupuestaria para compras en trámite.</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Diseño de las plantillas estandarizadas de solicitud de cotización, orden de compra y seguimiento de estatus, adaptadas a los requerimientos operativos del departamento.</w:t>
      </w:r>
    </w:p>
    <w:p>
      <w:pPr>
        <w:spacing w:before="480" w:after="480" w:line="360" w:lineRule="auto"/>
        <w:jc w:val="left"/>
      </w:pPr>
      <w:r>
        <w:rPr>
          <w:rFonts w:ascii="Times New Roman" w:hAnsi="Times New Roman"/>
          <w:b/>
          <w:sz w:val="24"/>
        </w:rPr>
        <w:t>Semana 8</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Seguimiento a las órdenes de compra en proceso y apoyo en la actualización de los registros de proveedores y expedientes de adquisiciones del período administrativo.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Redacción del documento de propuesta de simplificación administrativa, integrando el nuevo flujo simplificado, los formatos diseñados y las recomendaciones de mejora de control interno.</w:t>
      </w:r>
    </w:p>
    <w:p>
      <w:pPr>
        <w:spacing w:before="480" w:after="480" w:line="360" w:lineRule="auto"/>
        <w:jc w:val="left"/>
      </w:pPr>
      <w:r>
        <w:rPr>
          <w:rFonts w:ascii="Times New Roman" w:hAnsi="Times New Roman"/>
          <w:b/>
          <w:sz w:val="24"/>
        </w:rPr>
        <w:t>Semana 9</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el cierre administrativo del ciclo de compras del período y colaboración en el archivo ordenado de las órdenes de compra gestionadas durante la pasantía.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Validación de la propuesta de simplificación con el tutor industrial, incorporación de observaciones y ajustes al documento final para su presentación formal.</w:t>
      </w:r>
    </w:p>
    <w:p>
      <w:pPr>
        <w:spacing w:before="480" w:after="480" w:line="360" w:lineRule="auto"/>
        <w:jc w:val="left"/>
      </w:pPr>
      <w:r>
        <w:rPr>
          <w:rFonts w:ascii="Times New Roman" w:hAnsi="Times New Roman"/>
          <w:b/>
          <w:sz w:val="24"/>
        </w:rPr>
        <w:t>Semana 10</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Presentación formal de la propuesta de mejora ante la gerencia del departamento administrativo y firma de la carta de aprobación del tutor industrial.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Consolidación y revisión final del informe académico de pasantías, incorporación de los anexos definitivos y preparación del documento para la entrega institucional.</w:t>
      </w:r>
    </w:p>
    <w:p>
      <w:pPr>
        <w:sectPr>
          <w:footerReference w:type="default" r:id="rId37"/>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8"/>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Mantilla, S. (2005). Control interno: Informe COSO (4ta ed.). Ecoe Ediciones, Colombia.</w:t>
      </w:r>
    </w:p>
    <w:p>
      <w:pPr>
        <w:spacing w:line="240" w:lineRule="auto" w:after="480" w:before="0"/>
        <w:ind w:left="425" w:hanging="425"/>
        <w:jc w:val="both"/>
      </w:pPr>
      <w:r>
        <w:rPr>
          <w:rFonts w:ascii="Times New Roman" w:hAnsi="Times New Roman"/>
          <w:sz w:val="24"/>
        </w:rPr>
        <w:t>Monterroso, E. (2002). El proceso de abastecimiento: El aprovisionamiento. Universidad Nacional de Luján, Argentina.</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39"/>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sectPr w:rsidR="00FC693F" w:rsidRPr="0006063C" w:rsidSect="00034616">
      <w:footerReference w:type="default" r:id="rId40"/>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footer" Target="footer27.xml"/><Relationship Id="rId39" Type="http://schemas.openxmlformats.org/officeDocument/2006/relationships/footer" Target="footer28.xml"/><Relationship Id="rId40" Type="http://schemas.openxmlformats.org/officeDocument/2006/relationships/footer" Target="foot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