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 (IUTECP)</w:t>
        <w:br/>
      </w:r>
      <w:r>
        <w:rPr>
          <w:rFonts w:ascii="Times New Roman" w:hAnsi="Times New Roman"/>
          <w:b/>
          <w:sz w:val="24"/>
        </w:rPr>
        <w:t>EL TIGRE, ESTADO ANZOÁTEGUI</w:t>
      </w:r>
    </w:p>
    <w:p>
      <w:pPr>
        <w:spacing w:line="276" w:lineRule="auto" w:before="3844" w:after="0"/>
        <w:jc w:val="center"/>
      </w:pPr>
      <w:r>
        <w:rPr>
          <w:rFonts w:ascii="Times New Roman" w:hAnsi="Times New Roman"/>
          <w:b/>
          <w:sz w:val="24"/>
        </w:rPr>
        <w:t>DISEÑO DE UN SISTEMA PARA EL CONTROL, TRAZABILIDAD Y REPORTE DE MOVIMIENTOS DOCUMENTALES EN LA PRESIDENCIA DE LA EMPRESA MIXTA PETROLERA VENANGOCUPET, S.A.</w:t>
      </w:r>
    </w:p>
    <w:p>
      <w:pPr>
        <w:spacing w:line="276" w:lineRule="auto" w:before="2281" w:after="0"/>
        <w:jc w:val="right"/>
      </w:pPr>
      <w:r>
        <w:rPr>
          <w:rFonts w:ascii="Times New Roman" w:hAnsi="Times New Roman"/>
          <w:b/>
          <w:sz w:val="24"/>
        </w:rPr>
        <w:t>Autor: Juliano Cardona</w:t>
        <w:br/>
      </w:r>
      <w:r>
        <w:rPr>
          <w:rFonts w:ascii="Times New Roman" w:hAnsi="Times New Roman"/>
          <w:b/>
          <w:sz w:val="24"/>
        </w:rPr>
        <w:t>C.I.: 32.281.199</w:t>
      </w:r>
    </w:p>
    <w:p>
      <w:pPr>
        <w:spacing w:line="276" w:lineRule="auto" w:before="2309" w:after="0"/>
        <w:jc w:val="center"/>
      </w:pPr>
      <w:r>
        <w:rPr>
          <w:rFonts w:ascii="Times New Roman" w:hAnsi="Times New Roman"/>
          <w:sz w:val="24"/>
        </w:rPr>
        <w:t>El Tigre, julio de 2026</w:t>
      </w:r>
    </w:p>
    <w:p>
      <w:pPr>
        <w:sectPr>
          <w:footerReference w:type="default" r:id="rId11"/>
          <w:pgSz w:w="12240" w:h="15840"/>
          <w:pgMar w:top="1701" w:right="1701" w:bottom="1701" w:left="2268" w:header="720" w:footer="720" w:gutter="0"/>
          <w:cols w:space="720"/>
          <w:docGrid w:linePitch="360"/>
        </w:sectPr>
      </w:pPr>
    </w:p>
    <w:p>
      <w:pPr>
        <w:spacing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12"/>
          <w:pgSz w:w="12240" w:h="15840"/>
          <w:pgMar w:top="2835" w:right="1701" w:bottom="1701" w:left="2268" w:header="720" w:footer="720" w:gutter="0"/>
          <w:cols w:space="720"/>
          <w:titlePg/>
          <w:docGrid w:linePitch="360"/>
        </w:sectPr>
      </w:pPr>
    </w:p>
    <w:p>
      <w:bookmarkStart w:id="bm_cap1_ident" w:name="bm_cap1_ident"/>
      <w:pPr>
        <w:spacing w:before="480" w:after="480" w:line="360" w:lineRule="auto"/>
        <w:jc w:val="left"/>
      </w:pPr>
      <w:r>
        <w:rPr>
          <w:rFonts w:ascii="Times New Roman" w:hAnsi="Times New Roman"/>
          <w:b/>
          <w:sz w:val="24"/>
        </w:rPr>
        <w:t>IDENTIFICACIÓN DE LA EMPRESA</w:t>
      </w:r>
      <w:bookmarkEnd w:id="bm_cap1_ident"/>
    </w:p>
    <w:p>
      <w:pPr>
        <w:spacing w:line="360" w:lineRule="auto" w:after="0" w:before="0"/>
        <w:ind w:firstLine="709"/>
        <w:jc w:val="both"/>
      </w:pPr>
      <w:r>
        <w:rPr>
          <w:rFonts w:ascii="Times New Roman" w:hAnsi="Times New Roman"/>
          <w:i w:val="0"/>
          <w:sz w:val="24"/>
        </w:rPr>
        <w:t>La práctica profesional se desarrolla en la Empresa Mixta Petrolera Venangocupet, S.A., entidad filial de la Corporación Venezolana de Petróleo (CVP). Su actividad principal se centra en la exploración y producción primaria de hidrocarburos, operando bajo los lineamientos estratégicos de la División Ayacucho de la Faja Petrolífera del Orinoco.</w:t>
      </w:r>
    </w:p>
    <w:p>
      <w:pPr>
        <w:spacing w:before="240" w:after="240" w:line="360" w:lineRule="auto"/>
        <w:ind w:firstLine="709"/>
        <w:jc w:val="left"/>
      </w:pPr>
      <w:r>
        <w:rPr>
          <w:rFonts w:ascii="Times New Roman" w:hAnsi="Times New Roman"/>
          <w:b/>
          <w:i/>
          <w:sz w:val="24"/>
        </w:rPr>
        <w:t>1.1.1 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240" w:after="240" w:line="360" w:lineRule="auto"/>
        <w:ind w:firstLine="709"/>
        <w:jc w:val="left"/>
      </w:pPr>
      <w:r>
        <w:rPr>
          <w:rFonts w:ascii="Times New Roman" w:hAnsi="Times New Roman"/>
          <w:b/>
          <w:i/>
          <w:sz w:val="24"/>
        </w:rPr>
        <w:t>1.1.2 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240" w:after="240" w:line="360" w:lineRule="auto"/>
        <w:ind w:firstLine="709"/>
        <w:jc w:val="left"/>
      </w:pPr>
      <w:r>
        <w:rPr>
          <w:rFonts w:ascii="Times New Roman" w:hAnsi="Times New Roman"/>
          <w:b/>
          <w:i/>
          <w:sz w:val="24"/>
        </w:rPr>
        <w:t>1.1.3 Misión</w:t>
      </w:r>
      <w:bookmarkEnd w:id="bm_cap1_mision"/>
    </w:p>
    <w:p>
      <w:pPr>
        <w:spacing w:line="360" w:lineRule="auto" w:after="0" w:before="0"/>
        <w:ind w:firstLine="709"/>
        <w:jc w:val="both"/>
      </w:pPr>
      <w:r>
        <w:rPr>
          <w:rFonts w:ascii="Times New Roman" w:hAnsi="Times New Roman"/>
          <w:i/>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240" w:after="240" w:line="360" w:lineRule="auto"/>
        <w:ind w:firstLine="709"/>
        <w:jc w:val="left"/>
      </w:pPr>
      <w:r>
        <w:rPr>
          <w:rFonts w:ascii="Times New Roman" w:hAnsi="Times New Roman"/>
          <w:b/>
          <w:i/>
          <w:sz w:val="24"/>
        </w:rPr>
        <w:t>1.1.4 Visión</w:t>
      </w:r>
      <w:bookmarkEnd w:id="bm_cap1_vision"/>
    </w:p>
    <w:p>
      <w:pPr>
        <w:spacing w:line="360" w:lineRule="auto" w:after="0" w:before="0"/>
        <w:ind w:firstLine="709"/>
        <w:jc w:val="both"/>
      </w:pPr>
      <w:r>
        <w:rPr>
          <w:rFonts w:ascii="Times New Roman" w:hAnsi="Times New Roman"/>
          <w:i/>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240" w:after="240" w:line="360" w:lineRule="auto"/>
        <w:ind w:firstLine="709"/>
        <w:jc w:val="left"/>
      </w:pPr>
      <w:r>
        <w:rPr>
          <w:rFonts w:ascii="Times New Roman" w:hAnsi="Times New Roman"/>
          <w:b/>
          <w:i/>
          <w:sz w:val="24"/>
        </w:rPr>
        <w:t>1.1.5 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240" w:after="240" w:line="360" w:lineRule="auto"/>
        <w:ind w:firstLine="709"/>
        <w:jc w:val="left"/>
      </w:pPr>
      <w:r>
        <w:rPr>
          <w:rFonts w:ascii="Times New Roman" w:hAnsi="Times New Roman"/>
          <w:b/>
          <w:i/>
          <w:sz w:val="24"/>
        </w:rPr>
        <w:t>1.1.6 Objetivos Organizacionales</w:t>
      </w:r>
      <w:bookmarkEnd w:id="bm_cap1_obj"/>
    </w:p>
    <w:p>
      <w:pPr>
        <w:spacing w:line="360" w:lineRule="auto" w:after="0" w:before="0"/>
        <w:ind w:firstLine="709"/>
        <w:jc w:val="both"/>
      </w:pPr>
      <w:r>
        <w:rPr>
          <w:rFonts w:ascii="Times New Roman" w:hAnsi="Times New Roman"/>
          <w:i w:val="0"/>
          <w:sz w:val="24"/>
        </w:rPr>
        <w:t>Entre sus objetivos organizacionales se encuentran:</w:t>
      </w:r>
    </w:p>
    <w:p>
      <w:pPr>
        <w:spacing w:line="360" w:lineRule="auto"/>
        <w:ind w:firstLine="709"/>
        <w:jc w:val="both"/>
      </w:pPr>
      <w:r>
        <w:rPr>
          <w:rFonts w:ascii="Times New Roman" w:hAnsi="Times New Roman"/>
          <w:sz w:val="24"/>
        </w:rPr>
        <w:t xml:space="preserve">1. </w:t>
      </w:r>
      <w:r>
        <w:rPr>
          <w:rFonts w:ascii="Times New Roman" w:hAnsi="Times New Roman"/>
          <w:sz w:val="24"/>
        </w:rPr>
        <w:t>Maximizar la recuperación eficiente y segura de las reservas de hidrocarburos asignadas.</w:t>
      </w:r>
    </w:p>
    <w:p>
      <w:pPr>
        <w:spacing w:line="360" w:lineRule="auto"/>
        <w:ind w:firstLine="709"/>
        <w:jc w:val="both"/>
      </w:pPr>
      <w:r>
        <w:rPr>
          <w:rFonts w:ascii="Times New Roman" w:hAnsi="Times New Roman"/>
          <w:sz w:val="24"/>
        </w:rPr>
        <w:t xml:space="preserve">2. </w:t>
      </w:r>
      <w:r>
        <w:rPr>
          <w:rFonts w:ascii="Times New Roman" w:hAnsi="Times New Roman"/>
          <w:sz w:val="24"/>
        </w:rPr>
        <w:t>Minimizar los costos operativos mediante la optimización de recursos tecnológicos y logísticos.</w:t>
      </w:r>
    </w:p>
    <w:p>
      <w:pPr>
        <w:spacing w:line="360" w:lineRule="auto"/>
        <w:ind w:firstLine="709"/>
        <w:jc w:val="both"/>
      </w:pPr>
      <w:r>
        <w:rPr>
          <w:rFonts w:ascii="Times New Roman" w:hAnsi="Times New Roman"/>
          <w:sz w:val="24"/>
        </w:rPr>
        <w:t xml:space="preserve">3. </w:t>
      </w:r>
      <w:r>
        <w:rPr>
          <w:rFonts w:ascii="Times New Roman" w:hAnsi="Times New Roman"/>
          <w:sz w:val="24"/>
        </w:rPr>
        <w:t>Garantizar la trazabilidad y el reporte oportuno de la información administrativa de la empresa.</w:t>
      </w:r>
    </w:p>
    <w:p>
      <w:bookmarkStart w:id="bm_cap1_ubic" w:name="bm_cap1_ubic"/>
      <w:pPr>
        <w:spacing w:before="240" w:after="240" w:line="360" w:lineRule="auto"/>
        <w:ind w:firstLine="709"/>
        <w:jc w:val="left"/>
      </w:pPr>
      <w:r>
        <w:rPr>
          <w:rFonts w:ascii="Times New Roman" w:hAnsi="Times New Roman"/>
          <w:b/>
          <w:i/>
          <w:sz w:val="24"/>
        </w:rPr>
        <w:t>1.1.7 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encuentra ubicada en el sur del estado Anzoátegui, operando geográficamente en los bloques asignados dentro de la División Ayacucho, Faja Petrolífera del Orinoco.</w:t>
      </w:r>
    </w:p>
    <w:p>
      <w:bookmarkStart w:id="bm_cap1_pobla" w:name="bm_cap1_pobla"/>
      <w:pPr>
        <w:spacing w:before="240" w:after="240" w:line="360" w:lineRule="auto"/>
        <w:ind w:firstLine="709"/>
        <w:jc w:val="left"/>
      </w:pPr>
      <w:r>
        <w:rPr>
          <w:rFonts w:ascii="Times New Roman" w:hAnsi="Times New Roman"/>
          <w:b/>
          <w:i/>
          <w:sz w:val="24"/>
        </w:rPr>
        <w:t>1.1.8 Población de los trabajadores de la empresa</w:t>
      </w:r>
      <w:bookmarkEnd w:id="bm_cap1_pobla"/>
    </w:p>
    <w:p>
      <w:pPr>
        <w:spacing w:line="360" w:lineRule="auto" w:after="0" w:before="0"/>
        <w:ind w:firstLine="709"/>
        <w:jc w:val="both"/>
      </w:pPr>
      <w:r>
        <w:rPr>
          <w:rFonts w:ascii="Times New Roman" w:hAnsi="Times New Roman"/>
          <w:i w:val="0"/>
          <w:sz w:val="24"/>
        </w:rPr>
        <w:t>La estructura del talento humano de la organización refleja un equipo multidisciplinario especializado en la gestión administrativa y operativa. La población total del personal directo asciende a 107 trabajadores.</w:t>
      </w:r>
    </w:p>
    <w:p>
      <w:pPr>
        <w:spacing w:line="360" w:lineRule="auto" w:after="0" w:before="0"/>
        <w:ind w:firstLine="709"/>
        <w:jc w:val="both"/>
      </w:pPr>
      <w:r>
        <w:rPr>
          <w:rFonts w:ascii="Times New Roman" w:hAnsi="Times New Roman"/>
          <w:i w:val="0"/>
          <w:sz w:val="24"/>
        </w:rPr>
        <w:t>El Departamento de Presidencia, donde se desarrolló la investigación técnica, actúa como el nodo principal de recepción, revisión y canalización de correspondencia ejecutiva. Su operatividad exige un alto nivel de eficiencia en el control de flujos documentales concurrentes.</w:t>
      </w:r>
    </w:p>
    <w:p>
      <w:bookmarkStart w:id="bm_cap1_estruct" w:name="bm_cap1_estruct"/>
      <w:pPr>
        <w:spacing w:before="240" w:after="240" w:line="360" w:lineRule="auto"/>
        <w:ind w:firstLine="709"/>
        <w:jc w:val="left"/>
      </w:pPr>
      <w:r>
        <w:rPr>
          <w:rFonts w:ascii="Times New Roman" w:hAnsi="Times New Roman"/>
          <w:b/>
          <w:i/>
          <w:sz w:val="24"/>
        </w:rPr>
        <w:t>1.1.9 Estructura Organizativa</w:t>
      </w:r>
      <w:bookmarkEnd w:id="bm_cap1_estruct"/>
    </w:p>
    <w:p>
      <w:pPr>
        <w:spacing w:line="360" w:lineRule="auto" w:after="0" w:before="0"/>
        <w:ind w:firstLine="709"/>
        <w:jc w:val="both"/>
      </w:pPr>
      <w:r>
        <w:rPr>
          <w:rFonts w:ascii="Times New Roman" w:hAnsi="Times New Roman"/>
          <w:i w:val="0"/>
          <w:sz w:val="24"/>
        </w:rPr>
        <w:t>La arquitectura organizativa de Venangocupet, S.A. se fundamenta en un modelo jerárquico-funcional. La empresa está encabezada por la Junta Directiva y la Presidencia. A continuación, se presenta el organigrama general destacando el Área de Presidencia, contexto en el cual se aplicó el desarrollo tecnológico.</w:t>
      </w:r>
    </w:p>
    <w:p>
      <w:pPr>
        <w:spacing w:before="480"/>
        <w:jc w:val="center"/>
      </w:pPr>
      <w:r>
        <w:drawing>
          <wp:inline xmlns:a="http://schemas.openxmlformats.org/drawingml/2006/main" xmlns:pic="http://schemas.openxmlformats.org/drawingml/2006/picture">
            <wp:extent cx="4320000" cy="3674391"/>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4320000" cy="3674391"/>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Organigrama estructural y niveles jerárquicos de Venangocupet, S.A.</w:t>
      </w:r>
      <w:bookmarkEnd w:id="bm_grafico1"/>
    </w:p>
    <w:p>
      <w:pPr>
        <w:spacing w:before="480"/>
        <w:jc w:val="center"/>
      </w:pPr>
      <w:r>
        <w:drawing>
          <wp:inline xmlns:a="http://schemas.openxmlformats.org/drawingml/2006/main" xmlns:pic="http://schemas.openxmlformats.org/drawingml/2006/picture">
            <wp:extent cx="4320000" cy="2881208"/>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4320000" cy="2881208"/>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Organigrama del Departamento de Presidencia.</w:t>
      </w:r>
      <w:bookmarkEnd w:id="bm_grafico2"/>
    </w:p>
    <w:p>
      <w:pPr>
        <w:sectPr>
          <w:footerReference w:type="default" r:id="rId13"/>
          <w:type w:val="continuous"/>
          <w:pgSz w:w="12240" w:h="15840"/>
          <w:pgMar w:top="1701" w:right="1701" w:bottom="1701" w:left="2268" w:header="720" w:footer="720" w:gutter="0"/>
          <w:cols w:space="720"/>
          <w:titlePg/>
          <w:docGrid w:linePitch="360"/>
        </w:sectPr>
      </w:pPr>
    </w:p>
    <w:p>
      <w:pPr>
        <w:spacing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14"/>
          <w:pgSz w:w="12240" w:h="15840"/>
          <w:pgMar w:top="2835"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El proceso administrativo en el Departamento de Presidencia funciona estrictamente como un nodo de tránsito y validación. El flujo procedimental consiste en recibir expedientes externos, someterlos a revisión ortográfica y de formato, y registrarlos para su entrega al Presidente de la empresa. Una vez firmados, se registra su salida y se despachan de forma inmediata hacia su departamento de destino, sin retener documentos propios de forma permanente.</w:t>
      </w:r>
    </w:p>
    <w:p>
      <w:pPr>
        <w:spacing w:line="360" w:lineRule="auto" w:after="0" w:before="0"/>
        <w:ind w:firstLine="709"/>
        <w:jc w:val="both"/>
      </w:pPr>
      <w:r>
        <w:rPr>
          <w:rFonts w:ascii="Times New Roman" w:hAnsi="Times New Roman"/>
          <w:i w:val="0"/>
          <w:sz w:val="24"/>
        </w:rPr>
        <w:t>Actualmente, el control de este ciclo se ejecuta mediante hojas de cálculo convencionales. El flujo de expedientes es azaroso, alternando entre volúmenes mínimos y escenarios de ingresos masivos concurrentes. En dichos picos de alta demanda, el registro basado en el copiado y pegado manual de datos repetitivos ralentiza severamente el procesamiento y propicia errores humanos, tales como la duplicación de datos o la omisión de movimientos críticos.</w:t>
      </w:r>
    </w:p>
    <w:p>
      <w:pPr>
        <w:spacing w:line="360" w:lineRule="auto" w:after="0" w:before="0"/>
        <w:ind w:firstLine="709"/>
        <w:jc w:val="both"/>
      </w:pPr>
      <w:r>
        <w:rPr>
          <w:rFonts w:ascii="Times New Roman" w:hAnsi="Times New Roman"/>
          <w:i w:val="0"/>
          <w:sz w:val="24"/>
        </w:rPr>
        <w:t>Adicionalmente, este mecanismo dificulta la generación de reportes inmediatos. Cuando la alta dirección solicita conocer el resumen de documentos firmados en el mes o el estatus de los expedientes pendientes por firma, el personal debe filtrar, interpretar y redactar la información manualmente. Esto retrasa la respuesta operativa del departamento y evidencia la necesidad inminente de un salto tecnológico hacia la automatización.</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Proponer el desarrollo de un sistema automatizado para el control, trazabilidad y reporte de movimientos documentales en la Presidencia de la Empresa Mixta Petrolera Venangocupet, S.A., bajo la modalidad de proyecto factible.</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la situación actual del flujo procedimental de recepción, firma y derivación de expedientes en el área de Presidencia.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la base de datos de trazabilidad documental.</w:t>
      </w:r>
    </w:p>
    <w:p>
      <w:pPr>
        <w:spacing w:line="360" w:lineRule="auto"/>
        <w:ind w:firstLine="709"/>
        <w:jc w:val="both"/>
      </w:pPr>
      <w:r>
        <w:rPr>
          <w:rFonts w:ascii="Times New Roman" w:hAnsi="Times New Roman"/>
          <w:sz w:val="24"/>
        </w:rPr>
        <w:t xml:space="preserve">3. </w:t>
      </w:r>
      <w:r>
        <w:rPr>
          <w:rFonts w:ascii="Times New Roman" w:hAnsi="Times New Roman"/>
          <w:sz w:val="24"/>
        </w:rPr>
        <w:t>Diseñar la arquitectura lógica del sistema relacional y la interfaz gráfica de usuario para el entorno de escritorio.</w:t>
      </w:r>
    </w:p>
    <w:p>
      <w:pPr>
        <w:spacing w:line="360" w:lineRule="auto"/>
        <w:ind w:firstLine="709"/>
        <w:jc w:val="both"/>
      </w:pPr>
      <w:r>
        <w:rPr>
          <w:rFonts w:ascii="Times New Roman" w:hAnsi="Times New Roman"/>
          <w:sz w:val="24"/>
        </w:rPr>
        <w:t xml:space="preserve">4. </w:t>
      </w:r>
      <w:r>
        <w:rPr>
          <w:rFonts w:ascii="Times New Roman" w:hAnsi="Times New Roman"/>
          <w:sz w:val="24"/>
        </w:rPr>
        <w:t>Desarrollar un prototipo funcional del sistema empleando bases de datos y tecnologías de empaquetado para su validación operativa.</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establece la relación entre cada objetivo y las actividades técnicas a ejecutar para el desarrollo del proyecto factible:</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2551"/>
        <w:gridCol w:w="2551"/>
        <w:gridCol w:w="1701"/>
        <w:gridCol w:w="1984"/>
      </w:tblGrid>
      <w:tr>
        <w:tc>
          <w:tcPr>
            <w:tcW w:w="2551" w:type="dxa"/>
            <w:shd w:val="clear" w:color="auto" w:fill="4472C4"/>
          </w:tcPr>
          <w:p>
            <w:pPr>
              <w:spacing w:before="60" w:after="60" w:line="240" w:lineRule="auto"/>
              <w:jc w:val="center"/>
            </w:pPr>
            <w:r>
              <w:rPr>
                <w:rFonts w:ascii="Times New Roman" w:hAnsi="Times New Roman"/>
                <w:b/>
                <w:color w:val="FFFFFF"/>
                <w:sz w:val="20"/>
              </w:rPr>
              <w:t>Objetivo Específico</w:t>
            </w:r>
          </w:p>
        </w:tc>
        <w:tc>
          <w:tcPr>
            <w:tcW w:w="2551" w:type="dxa"/>
            <w:shd w:val="clear" w:color="auto" w:fill="4472C4"/>
          </w:tcPr>
          <w:p>
            <w:pPr>
              <w:spacing w:before="60" w:after="60" w:line="240" w:lineRule="auto"/>
              <w:jc w:val="center"/>
            </w:pPr>
            <w:r>
              <w:rPr>
                <w:rFonts w:ascii="Times New Roman" w:hAnsi="Times New Roman"/>
                <w:b/>
                <w:color w:val="FFFFFF"/>
                <w:sz w:val="20"/>
              </w:rPr>
              <w:t>Actividades</w:t>
            </w:r>
          </w:p>
        </w:tc>
        <w:tc>
          <w:tcPr>
            <w:tcW w:w="1701" w:type="dxa"/>
            <w:shd w:val="clear" w:color="auto" w:fill="4472C4"/>
          </w:tcPr>
          <w:p>
            <w:pPr>
              <w:spacing w:before="60" w:after="60" w:line="240" w:lineRule="auto"/>
              <w:jc w:val="center"/>
            </w:pPr>
            <w:r>
              <w:rPr>
                <w:rFonts w:ascii="Times New Roman" w:hAnsi="Times New Roman"/>
                <w:b/>
                <w:color w:val="FFFFFF"/>
                <w:sz w:val="20"/>
              </w:rPr>
              <w:t>Recursos</w:t>
            </w:r>
          </w:p>
        </w:tc>
        <w:tc>
          <w:tcPr>
            <w:tcW w:w="1984" w:type="dxa"/>
            <w:shd w:val="clear" w:color="auto" w:fill="4472C4"/>
          </w:tcPr>
          <w:p>
            <w:pPr>
              <w:spacing w:before="60" w:after="60" w:line="240" w:lineRule="auto"/>
              <w:jc w:val="center"/>
            </w:pPr>
            <w:r>
              <w:rPr>
                <w:rFonts w:ascii="Times New Roman" w:hAnsi="Times New Roman"/>
                <w:b/>
                <w:color w:val="FFFFFF"/>
                <w:sz w:val="20"/>
              </w:rPr>
              <w:t>Indicadores de Logro</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Diagnosticar el flujo procedimental actual de los movimientos documentales.</w:t>
            </w:r>
          </w:p>
        </w:tc>
        <w:tc>
          <w:tcPr>
            <w:tcW w:w="2551" w:type="dxa"/>
            <w:shd w:val="clear" w:color="auto" w:fill="FFFFFF"/>
          </w:tcPr>
          <w:p>
            <w:pPr>
              <w:spacing w:before="60" w:after="60" w:line="240" w:lineRule="auto"/>
              <w:jc w:val="both"/>
            </w:pPr>
            <w:r>
              <w:rPr>
                <w:rFonts w:ascii="Times New Roman" w:hAnsi="Times New Roman"/>
                <w:b w:val="0"/>
                <w:color w:val="000000"/>
                <w:sz w:val="20"/>
              </w:rPr>
              <w:t>Observación directa del ciclo de expedientes y análisis de las fallas en las hojas de cálculo existentes.</w:t>
            </w:r>
          </w:p>
        </w:tc>
        <w:tc>
          <w:tcPr>
            <w:tcW w:w="1701" w:type="dxa"/>
            <w:shd w:val="clear" w:color="auto" w:fill="FFFFFF"/>
          </w:tcPr>
          <w:p>
            <w:pPr>
              <w:spacing w:before="60" w:after="60" w:line="240" w:lineRule="auto"/>
              <w:jc w:val="both"/>
            </w:pPr>
            <w:r>
              <w:rPr>
                <w:rFonts w:ascii="Times New Roman" w:hAnsi="Times New Roman"/>
                <w:b w:val="0"/>
                <w:color w:val="000000"/>
                <w:sz w:val="20"/>
              </w:rPr>
              <w:t>Cuaderno de notas, registros de Excel</w:t>
            </w:r>
          </w:p>
        </w:tc>
        <w:tc>
          <w:tcPr>
            <w:tcW w:w="1984" w:type="dxa"/>
            <w:shd w:val="clear" w:color="auto" w:fill="FFFFFF"/>
          </w:tcPr>
          <w:p>
            <w:pPr>
              <w:spacing w:before="60" w:after="60" w:line="240" w:lineRule="auto"/>
              <w:jc w:val="both"/>
            </w:pPr>
            <w:r>
              <w:rPr>
                <w:rFonts w:ascii="Times New Roman" w:hAnsi="Times New Roman"/>
                <w:b w:val="0"/>
                <w:color w:val="000000"/>
                <w:sz w:val="20"/>
              </w:rPr>
              <w:t>Diagnóstico con identificación de debilidades en el flujo documental y la trazabilidad.</w:t>
            </w:r>
          </w:p>
        </w:tc>
      </w:tr>
      <w:tr>
        <w:tc>
          <w:tcPr>
            <w:tcW w:w="2551" w:type="dxa"/>
            <w:shd w:val="clear" w:color="auto" w:fill="D9E1F2"/>
          </w:tcPr>
          <w:p>
            <w:pPr>
              <w:spacing w:before="60" w:after="60" w:line="240" w:lineRule="auto"/>
              <w:jc w:val="both"/>
            </w:pPr>
            <w:r>
              <w:rPr>
                <w:rFonts w:ascii="Times New Roman" w:hAnsi="Times New Roman"/>
                <w:b w:val="0"/>
                <w:color w:val="000000"/>
                <w:sz w:val="20"/>
              </w:rPr>
              <w:t>Determinar los requerimientos técnicos y funcionales del sistema.</w:t>
            </w:r>
          </w:p>
        </w:tc>
        <w:tc>
          <w:tcPr>
            <w:tcW w:w="2551" w:type="dxa"/>
            <w:shd w:val="clear" w:color="auto" w:fill="D9E1F2"/>
          </w:tcPr>
          <w:p>
            <w:pPr>
              <w:spacing w:before="60" w:after="60" w:line="240" w:lineRule="auto"/>
              <w:jc w:val="both"/>
            </w:pPr>
            <w:r>
              <w:rPr>
                <w:rFonts w:ascii="Times New Roman" w:hAnsi="Times New Roman"/>
                <w:b w:val="0"/>
                <w:color w:val="000000"/>
                <w:sz w:val="20"/>
              </w:rPr>
              <w:t>Levantamiento de metadatos requeridos (fechas, remitente, estatus) y definición de reglas de validación mediante entrevista no estructurada.</w:t>
            </w:r>
          </w:p>
        </w:tc>
        <w:tc>
          <w:tcPr>
            <w:tcW w:w="1701" w:type="dxa"/>
            <w:shd w:val="clear" w:color="auto" w:fill="D9E1F2"/>
          </w:tcPr>
          <w:p>
            <w:pPr>
              <w:spacing w:before="60" w:after="60" w:line="240" w:lineRule="auto"/>
              <w:jc w:val="both"/>
            </w:pPr>
            <w:r>
              <w:rPr>
                <w:rFonts w:ascii="Times New Roman" w:hAnsi="Times New Roman"/>
                <w:b w:val="0"/>
                <w:color w:val="000000"/>
                <w:sz w:val="20"/>
              </w:rPr>
              <w:t>Formatos de requerimientos, diccionario de datos</w:t>
            </w:r>
          </w:p>
        </w:tc>
        <w:tc>
          <w:tcPr>
            <w:tcW w:w="1984" w:type="dxa"/>
            <w:shd w:val="clear" w:color="auto" w:fill="D9E1F2"/>
          </w:tcPr>
          <w:p>
            <w:pPr>
              <w:spacing w:before="60" w:after="60" w:line="240" w:lineRule="auto"/>
              <w:jc w:val="both"/>
            </w:pPr>
            <w:r>
              <w:rPr>
                <w:rFonts w:ascii="Times New Roman" w:hAnsi="Times New Roman"/>
                <w:b w:val="0"/>
                <w:color w:val="000000"/>
                <w:sz w:val="20"/>
              </w:rPr>
              <w:t>Documento de especificación de requerimientos funcionales y técnicos.</w:t>
            </w:r>
          </w:p>
        </w:tc>
      </w:tr>
      <w:tr>
        <w:tc>
          <w:tcPr>
            <w:tcW w:w="2551" w:type="dxa"/>
            <w:shd w:val="clear" w:color="auto" w:fill="FFFFFF"/>
          </w:tcPr>
          <w:p>
            <w:pPr>
              <w:spacing w:before="60" w:after="60" w:line="240" w:lineRule="auto"/>
              <w:jc w:val="both"/>
            </w:pPr>
            <w:r>
              <w:rPr>
                <w:rFonts w:ascii="Times New Roman" w:hAnsi="Times New Roman"/>
                <w:b w:val="0"/>
                <w:color w:val="000000"/>
                <w:sz w:val="20"/>
              </w:rPr>
              <w:t>Diseñar la arquitectura lógica y la interfaz gráfica de usuario.</w:t>
            </w:r>
          </w:p>
        </w:tc>
        <w:tc>
          <w:tcPr>
            <w:tcW w:w="2551" w:type="dxa"/>
            <w:shd w:val="clear" w:color="auto" w:fill="FFFFFF"/>
          </w:tcPr>
          <w:p>
            <w:pPr>
              <w:spacing w:before="60" w:after="60" w:line="240" w:lineRule="auto"/>
              <w:jc w:val="both"/>
            </w:pPr>
            <w:r>
              <w:rPr>
                <w:rFonts w:ascii="Times New Roman" w:hAnsi="Times New Roman"/>
                <w:b w:val="0"/>
                <w:color w:val="000000"/>
                <w:sz w:val="20"/>
              </w:rPr>
              <w:t>Modelado del diagrama Entidad-Relación y diseño de los módulos visuales mediante análisis documental.</w:t>
            </w:r>
          </w:p>
        </w:tc>
        <w:tc>
          <w:tcPr>
            <w:tcW w:w="1701" w:type="dxa"/>
            <w:shd w:val="clear" w:color="auto" w:fill="FFFFFF"/>
          </w:tcPr>
          <w:p>
            <w:pPr>
              <w:spacing w:before="60" w:after="60" w:line="240" w:lineRule="auto"/>
              <w:jc w:val="both"/>
            </w:pPr>
            <w:r>
              <w:rPr>
                <w:rFonts w:ascii="Times New Roman" w:hAnsi="Times New Roman"/>
                <w:b w:val="0"/>
                <w:color w:val="000000"/>
                <w:sz w:val="20"/>
              </w:rPr>
              <w:t>Herramientas de modelado, editores de código</w:t>
            </w:r>
          </w:p>
        </w:tc>
        <w:tc>
          <w:tcPr>
            <w:tcW w:w="1984" w:type="dxa"/>
            <w:shd w:val="clear" w:color="auto" w:fill="FFFFFF"/>
          </w:tcPr>
          <w:p>
            <w:pPr>
              <w:spacing w:before="60" w:after="60" w:line="240" w:lineRule="auto"/>
              <w:jc w:val="both"/>
            </w:pPr>
            <w:r>
              <w:rPr>
                <w:rFonts w:ascii="Times New Roman" w:hAnsi="Times New Roman"/>
                <w:b w:val="0"/>
                <w:color w:val="000000"/>
                <w:sz w:val="20"/>
              </w:rPr>
              <w:t>Diagrama Entidad-Relación y maquetado de la interfaz gráfica aprobados.</w:t>
            </w:r>
          </w:p>
        </w:tc>
      </w:tr>
      <w:tr>
        <w:tc>
          <w:tcPr>
            <w:tcW w:w="2551" w:type="dxa"/>
            <w:shd w:val="clear" w:color="auto" w:fill="D9E1F2"/>
          </w:tcPr>
          <w:p>
            <w:pPr>
              <w:spacing w:before="60" w:after="60" w:line="240" w:lineRule="auto"/>
              <w:jc w:val="both"/>
            </w:pPr>
            <w:r>
              <w:rPr>
                <w:rFonts w:ascii="Times New Roman" w:hAnsi="Times New Roman"/>
                <w:b w:val="0"/>
                <w:color w:val="000000"/>
                <w:sz w:val="20"/>
              </w:rPr>
              <w:t>Desarrollar un prototipo funcional del sistema para su validación.</w:t>
            </w:r>
          </w:p>
        </w:tc>
        <w:tc>
          <w:tcPr>
            <w:tcW w:w="2551" w:type="dxa"/>
            <w:shd w:val="clear" w:color="auto" w:fill="D9E1F2"/>
          </w:tcPr>
          <w:p>
            <w:pPr>
              <w:spacing w:before="60" w:after="60" w:line="240" w:lineRule="auto"/>
              <w:jc w:val="both"/>
            </w:pPr>
            <w:r>
              <w:rPr>
                <w:rFonts w:ascii="Times New Roman" w:hAnsi="Times New Roman"/>
                <w:b w:val="0"/>
                <w:color w:val="000000"/>
                <w:sz w:val="20"/>
              </w:rPr>
              <w:t>Implementación en SQLite, integración de la interfaz con Wails y ejecución de pruebas de escritorio.</w:t>
            </w:r>
          </w:p>
        </w:tc>
        <w:tc>
          <w:tcPr>
            <w:tcW w:w="1701" w:type="dxa"/>
            <w:shd w:val="clear" w:color="auto" w:fill="D9E1F2"/>
          </w:tcPr>
          <w:p>
            <w:pPr>
              <w:spacing w:before="60" w:after="60" w:line="240" w:lineRule="auto"/>
              <w:jc w:val="both"/>
            </w:pPr>
            <w:r>
              <w:rPr>
                <w:rFonts w:ascii="Times New Roman" w:hAnsi="Times New Roman"/>
                <w:b w:val="0"/>
                <w:color w:val="000000"/>
                <w:sz w:val="20"/>
              </w:rPr>
              <w:t>Framework Wails, motor SQLite, equipo informático</w:t>
            </w:r>
          </w:p>
        </w:tc>
        <w:tc>
          <w:tcPr>
            <w:tcW w:w="1984" w:type="dxa"/>
            <w:shd w:val="clear" w:color="auto" w:fill="D9E1F2"/>
          </w:tcPr>
          <w:p>
            <w:pPr>
              <w:spacing w:before="60" w:after="60" w:line="240" w:lineRule="auto"/>
              <w:jc w:val="both"/>
            </w:pPr>
            <w:r>
              <w:rPr>
                <w:rFonts w:ascii="Times New Roman" w:hAnsi="Times New Roman"/>
                <w:b w:val="0"/>
                <w:color w:val="000000"/>
                <w:sz w:val="20"/>
              </w:rPr>
              <w:t>Prototipo funcional validado con pruebas de escritorio exitosas.</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estructura temporalmente las fases de diseño y desarrollo del sistema automatizado, distribuidas a lo largo de las nueve (9) semanas de duración de la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proyecto factible.</w:t>
      </w:r>
      <w:bookmarkEnd w:id="bm_cuadro2"/>
    </w:p>
    <w:tbl>
      <w:tblPr>
        <w:tblStyle w:val="TableGrid"/>
        <w:tblW w:type="auto" w:w="0"/>
        <w:tblLook w:firstColumn="1" w:firstRow="1" w:lastColumn="0" w:lastRow="0" w:noHBand="0" w:noVBand="1" w:val="04A0"/>
        <w:tblLayout w:type="fixed"/>
      </w:tblPr>
      <w:tblGrid>
        <w:gridCol w:w="4448"/>
        <w:gridCol w:w="424"/>
        <w:gridCol w:w="424"/>
        <w:gridCol w:w="424"/>
        <w:gridCol w:w="424"/>
        <w:gridCol w:w="424"/>
        <w:gridCol w:w="424"/>
        <w:gridCol w:w="424"/>
        <w:gridCol w:w="424"/>
        <w:gridCol w:w="424"/>
      </w:tblGrid>
      <w:tr>
        <w:tc>
          <w:tcPr>
            <w:tcW w:w="4448" w:type="dxa"/>
            <w:shd w:val="clear" w:color="auto" w:fill="4472C4"/>
          </w:tcPr>
          <w:p>
            <w:pPr>
              <w:spacing w:before="60" w:after="60" w:line="240" w:lineRule="auto"/>
              <w:jc w:val="center"/>
            </w:pPr>
            <w:r>
              <w:rPr>
                <w:rFonts w:ascii="Times New Roman" w:hAnsi="Times New Roman"/>
                <w:b/>
                <w:color w:val="FFFFFF"/>
                <w:sz w:val="20"/>
              </w:rPr>
              <w:t>Actividades Administrativas</w:t>
            </w:r>
          </w:p>
        </w:tc>
        <w:tc>
          <w:tcPr>
            <w:tcW w:w="424" w:type="dxa"/>
            <w:shd w:val="clear" w:color="auto" w:fill="4472C4"/>
          </w:tcPr>
          <w:p>
            <w:pPr>
              <w:spacing w:before="60" w:after="60" w:line="240" w:lineRule="auto"/>
              <w:jc w:val="center"/>
            </w:pPr>
            <w:r>
              <w:rPr>
                <w:rFonts w:ascii="Times New Roman" w:hAnsi="Times New Roman"/>
                <w:b/>
                <w:color w:val="FFFFFF"/>
                <w:sz w:val="18"/>
              </w:rPr>
              <w:t>S1</w:t>
            </w:r>
          </w:p>
        </w:tc>
        <w:tc>
          <w:tcPr>
            <w:tcW w:w="424" w:type="dxa"/>
            <w:shd w:val="clear" w:color="auto" w:fill="4472C4"/>
          </w:tcPr>
          <w:p>
            <w:pPr>
              <w:spacing w:before="60" w:after="60" w:line="240" w:lineRule="auto"/>
              <w:jc w:val="center"/>
            </w:pPr>
            <w:r>
              <w:rPr>
                <w:rFonts w:ascii="Times New Roman" w:hAnsi="Times New Roman"/>
                <w:b/>
                <w:color w:val="FFFFFF"/>
                <w:sz w:val="18"/>
              </w:rPr>
              <w:t>S2</w:t>
            </w:r>
          </w:p>
        </w:tc>
        <w:tc>
          <w:tcPr>
            <w:tcW w:w="424" w:type="dxa"/>
            <w:shd w:val="clear" w:color="auto" w:fill="4472C4"/>
          </w:tcPr>
          <w:p>
            <w:pPr>
              <w:spacing w:before="60" w:after="60" w:line="240" w:lineRule="auto"/>
              <w:jc w:val="center"/>
            </w:pPr>
            <w:r>
              <w:rPr>
                <w:rFonts w:ascii="Times New Roman" w:hAnsi="Times New Roman"/>
                <w:b/>
                <w:color w:val="FFFFFF"/>
                <w:sz w:val="18"/>
              </w:rPr>
              <w:t>S3</w:t>
            </w:r>
          </w:p>
        </w:tc>
        <w:tc>
          <w:tcPr>
            <w:tcW w:w="424" w:type="dxa"/>
            <w:shd w:val="clear" w:color="auto" w:fill="4472C4"/>
          </w:tcPr>
          <w:p>
            <w:pPr>
              <w:spacing w:before="60" w:after="60" w:line="240" w:lineRule="auto"/>
              <w:jc w:val="center"/>
            </w:pPr>
            <w:r>
              <w:rPr>
                <w:rFonts w:ascii="Times New Roman" w:hAnsi="Times New Roman"/>
                <w:b/>
                <w:color w:val="FFFFFF"/>
                <w:sz w:val="18"/>
              </w:rPr>
              <w:t>S4</w:t>
            </w:r>
          </w:p>
        </w:tc>
        <w:tc>
          <w:tcPr>
            <w:tcW w:w="424" w:type="dxa"/>
            <w:shd w:val="clear" w:color="auto" w:fill="4472C4"/>
          </w:tcPr>
          <w:p>
            <w:pPr>
              <w:spacing w:before="60" w:after="60" w:line="240" w:lineRule="auto"/>
              <w:jc w:val="center"/>
            </w:pPr>
            <w:r>
              <w:rPr>
                <w:rFonts w:ascii="Times New Roman" w:hAnsi="Times New Roman"/>
                <w:b/>
                <w:color w:val="FFFFFF"/>
                <w:sz w:val="18"/>
              </w:rPr>
              <w:t>S5</w:t>
            </w:r>
          </w:p>
        </w:tc>
        <w:tc>
          <w:tcPr>
            <w:tcW w:w="424" w:type="dxa"/>
            <w:shd w:val="clear" w:color="auto" w:fill="4472C4"/>
          </w:tcPr>
          <w:p>
            <w:pPr>
              <w:spacing w:before="60" w:after="60" w:line="240" w:lineRule="auto"/>
              <w:jc w:val="center"/>
            </w:pPr>
            <w:r>
              <w:rPr>
                <w:rFonts w:ascii="Times New Roman" w:hAnsi="Times New Roman"/>
                <w:b/>
                <w:color w:val="FFFFFF"/>
                <w:sz w:val="18"/>
              </w:rPr>
              <w:t>S6</w:t>
            </w:r>
          </w:p>
        </w:tc>
        <w:tc>
          <w:tcPr>
            <w:tcW w:w="424" w:type="dxa"/>
            <w:shd w:val="clear" w:color="auto" w:fill="4472C4"/>
          </w:tcPr>
          <w:p>
            <w:pPr>
              <w:spacing w:before="60" w:after="60" w:line="240" w:lineRule="auto"/>
              <w:jc w:val="center"/>
            </w:pPr>
            <w:r>
              <w:rPr>
                <w:rFonts w:ascii="Times New Roman" w:hAnsi="Times New Roman"/>
                <w:b/>
                <w:color w:val="FFFFFF"/>
                <w:sz w:val="18"/>
              </w:rPr>
              <w:t>S7</w:t>
            </w:r>
          </w:p>
        </w:tc>
        <w:tc>
          <w:tcPr>
            <w:tcW w:w="424" w:type="dxa"/>
            <w:shd w:val="clear" w:color="auto" w:fill="4472C4"/>
          </w:tcPr>
          <w:p>
            <w:pPr>
              <w:spacing w:before="60" w:after="60" w:line="240" w:lineRule="auto"/>
              <w:jc w:val="center"/>
            </w:pPr>
            <w:r>
              <w:rPr>
                <w:rFonts w:ascii="Times New Roman" w:hAnsi="Times New Roman"/>
                <w:b/>
                <w:color w:val="FFFFFF"/>
                <w:sz w:val="18"/>
              </w:rPr>
              <w:t>S8</w:t>
            </w:r>
          </w:p>
        </w:tc>
        <w:tc>
          <w:tcPr>
            <w:tcW w:w="424" w:type="dxa"/>
            <w:shd w:val="clear" w:color="auto" w:fill="4472C4"/>
          </w:tcPr>
          <w:p>
            <w:pPr>
              <w:spacing w:before="60" w:after="60" w:line="240" w:lineRule="auto"/>
              <w:jc w:val="center"/>
            </w:pPr>
            <w:r>
              <w:rPr>
                <w:rFonts w:ascii="Times New Roman" w:hAnsi="Times New Roman"/>
                <w:b/>
                <w:color w:val="FFFFFF"/>
                <w:sz w:val="18"/>
              </w:rPr>
              <w:t>S9</w:t>
            </w:r>
          </w:p>
        </w:tc>
      </w:tr>
      <w:tr>
        <w:tc>
          <w:tcPr>
            <w:tcW w:w="4448" w:type="dxa"/>
            <w:shd w:val="clear" w:color="auto" w:fill="FFFFFF"/>
          </w:tcPr>
          <w:p>
            <w:pPr>
              <w:spacing w:before="60" w:after="60" w:line="240" w:lineRule="auto"/>
              <w:jc w:val="both"/>
            </w:pPr>
            <w:r>
              <w:rPr>
                <w:rFonts w:ascii="Times New Roman" w:hAnsi="Times New Roman"/>
                <w:b w:val="0"/>
                <w:color w:val="000000"/>
                <w:sz w:val="20"/>
              </w:rPr>
              <w:t>Diagnóstico del flujo documental y levantamiento de requerimientos.</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r>
      <w:tr>
        <w:tc>
          <w:tcPr>
            <w:tcW w:w="4448" w:type="dxa"/>
            <w:shd w:val="clear" w:color="auto" w:fill="D9E1F2"/>
          </w:tcPr>
          <w:p>
            <w:pPr>
              <w:spacing w:before="60" w:after="60" w:line="240" w:lineRule="auto"/>
              <w:jc w:val="both"/>
            </w:pPr>
            <w:r>
              <w:rPr>
                <w:rFonts w:ascii="Times New Roman" w:hAnsi="Times New Roman"/>
                <w:b w:val="0"/>
                <w:color w:val="000000"/>
                <w:sz w:val="20"/>
              </w:rPr>
              <w:t>Diseño del modelo relacional, normalización y diccionario de datos.</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r>
      <w:tr>
        <w:tc>
          <w:tcPr>
            <w:tcW w:w="4448" w:type="dxa"/>
            <w:shd w:val="clear" w:color="auto" w:fill="FFFFFF"/>
          </w:tcPr>
          <w:p>
            <w:pPr>
              <w:spacing w:before="60" w:after="60" w:line="240" w:lineRule="auto"/>
              <w:jc w:val="both"/>
            </w:pPr>
            <w:r>
              <w:rPr>
                <w:rFonts w:ascii="Times New Roman" w:hAnsi="Times New Roman"/>
                <w:b w:val="0"/>
                <w:color w:val="000000"/>
                <w:sz w:val="20"/>
              </w:rPr>
              <w:t>Implementación de la base de datos relacional en SQLite.</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r>
      <w:tr>
        <w:tc>
          <w:tcPr>
            <w:tcW w:w="4448" w:type="dxa"/>
            <w:shd w:val="clear" w:color="auto" w:fill="D9E1F2"/>
          </w:tcPr>
          <w:p>
            <w:pPr>
              <w:spacing w:before="60" w:after="60" w:line="240" w:lineRule="auto"/>
              <w:jc w:val="both"/>
            </w:pPr>
            <w:r>
              <w:rPr>
                <w:rFonts w:ascii="Times New Roman" w:hAnsi="Times New Roman"/>
                <w:b w:val="0"/>
                <w:color w:val="000000"/>
                <w:sz w:val="20"/>
              </w:rPr>
              <w:t>Desarrollo de la interfaz gráfica y empaquetado con Wails.</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r>
      <w:tr>
        <w:tc>
          <w:tcPr>
            <w:tcW w:w="4448" w:type="dxa"/>
            <w:shd w:val="clear" w:color="auto" w:fill="FFFFFF"/>
          </w:tcPr>
          <w:p>
            <w:pPr>
              <w:spacing w:before="60" w:after="60" w:line="240" w:lineRule="auto"/>
              <w:jc w:val="both"/>
            </w:pPr>
            <w:r>
              <w:rPr>
                <w:rFonts w:ascii="Times New Roman" w:hAnsi="Times New Roman"/>
                <w:b w:val="0"/>
                <w:color w:val="000000"/>
                <w:sz w:val="20"/>
              </w:rPr>
              <w:t>Integración, pruebas funcionales y consolidación del sistema.</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r>
      <w:tr>
        <w:tc>
          <w:tcPr>
            <w:tcW w:w="4448" w:type="dxa"/>
            <w:shd w:val="clear" w:color="auto" w:fill="D9E1F2"/>
          </w:tcPr>
          <w:p>
            <w:pPr>
              <w:spacing w:before="60" w:after="60" w:line="240" w:lineRule="auto"/>
              <w:jc w:val="both"/>
            </w:pPr>
            <w:r>
              <w:rPr>
                <w:rFonts w:ascii="Times New Roman" w:hAnsi="Times New Roman"/>
                <w:b w:val="0"/>
                <w:color w:val="000000"/>
                <w:sz w:val="20"/>
              </w:rPr>
              <w:t>Inducción institucional y capacitación en seguridad (SIAHO).</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r>
      <w:tr>
        <w:tc>
          <w:tcPr>
            <w:tcW w:w="4448" w:type="dxa"/>
            <w:shd w:val="clear" w:color="auto" w:fill="FFFFFF"/>
          </w:tcPr>
          <w:p>
            <w:pPr>
              <w:spacing w:before="60" w:after="60" w:line="240" w:lineRule="auto"/>
              <w:jc w:val="both"/>
            </w:pPr>
            <w:r>
              <w:rPr>
                <w:rFonts w:ascii="Times New Roman" w:hAnsi="Times New Roman"/>
                <w:b w:val="0"/>
                <w:color w:val="000000"/>
                <w:sz w:val="20"/>
              </w:rPr>
              <w:t>Registro y actualización de expedientes en hoja de cálculo.</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r>
      <w:tr>
        <w:tc>
          <w:tcPr>
            <w:tcW w:w="4448" w:type="dxa"/>
            <w:shd w:val="clear" w:color="auto" w:fill="D9E1F2"/>
          </w:tcPr>
          <w:p>
            <w:pPr>
              <w:spacing w:before="60" w:after="60" w:line="240" w:lineRule="auto"/>
              <w:jc w:val="both"/>
            </w:pPr>
            <w:r>
              <w:rPr>
                <w:rFonts w:ascii="Times New Roman" w:hAnsi="Times New Roman"/>
                <w:b w:val="0"/>
                <w:color w:val="000000"/>
                <w:sz w:val="20"/>
              </w:rPr>
              <w:t>Revisión y canalización de correspondencia presidencial.</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c>
          <w:tcPr>
            <w:tcW w:w="424" w:type="dxa"/>
            <w:shd w:val="clear" w:color="auto" w:fill="D9E1F2"/>
          </w:tcPr>
          <w:p>
            <w:pPr>
              <w:spacing w:before="60" w:after="60" w:line="240" w:lineRule="auto"/>
              <w:jc w:val="center"/>
            </w:pPr>
            <w:r>
              <w:rPr>
                <w:rFonts w:ascii="Times New Roman" w:hAnsi="Times New Roman"/>
                <w:b w:val="0"/>
                <w:color w:val="000000"/>
                <w:sz w:val="18"/>
              </w:rPr>
            </w:r>
          </w:p>
        </w:tc>
      </w:tr>
      <w:tr>
        <w:tc>
          <w:tcPr>
            <w:tcW w:w="4448" w:type="dxa"/>
            <w:shd w:val="clear" w:color="auto" w:fill="FFFFFF"/>
          </w:tcPr>
          <w:p>
            <w:pPr>
              <w:spacing w:before="60" w:after="60" w:line="240" w:lineRule="auto"/>
              <w:jc w:val="both"/>
            </w:pPr>
            <w:r>
              <w:rPr>
                <w:rFonts w:ascii="Times New Roman" w:hAnsi="Times New Roman"/>
                <w:b w:val="0"/>
                <w:color w:val="000000"/>
                <w:sz w:val="20"/>
              </w:rPr>
              <w:t>Apoyo en generación de reportes y cierre administrativo.</w:t>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FFFFFF"/>
          </w:tcPr>
          <w:p>
            <w:pPr>
              <w:spacing w:before="60" w:after="60" w:line="240" w:lineRule="auto"/>
              <w:jc w:val="center"/>
            </w:pPr>
            <w:r>
              <w:rPr>
                <w:rFonts w:ascii="Times New Roman" w:hAnsi="Times New Roman"/>
                <w:b w:val="0"/>
                <w:color w:val="000000"/>
                <w:sz w:val="18"/>
              </w:rPr>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c>
          <w:tcPr>
            <w:tcW w:w="424" w:type="dxa"/>
            <w:shd w:val="clear" w:color="auto" w:fill="70AD47"/>
          </w:tcPr>
          <w:p>
            <w:pPr>
              <w:spacing w:before="60" w:after="60" w:line="240" w:lineRule="auto"/>
              <w:jc w:val="center"/>
            </w:pPr>
            <w:r>
              <w:rPr>
                <w:rFonts w:ascii="Times New Roman" w:hAnsi="Times New Roman"/>
                <w:b w:val="0"/>
                <w:color w:val="FFFFFF"/>
                <w:sz w:val="18"/>
              </w:rPr>
              <w:t>✓</w:t>
            </w:r>
          </w:p>
        </w:tc>
      </w:tr>
    </w:tbl>
    <w:p/>
    <w:sectPr w:rsidR="00FC693F" w:rsidRPr="0006063C" w:rsidSect="00034616">
      <w:footerReference w:type="default" r:id="rId15"/>
      <w:type w:val="continuous"/>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