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2281" w:after="0"/>
        <w:jc w:val="right"/>
      </w:pPr>
      <w:r>
        <w:rPr>
          <w:rFonts w:ascii="Times New Roman" w:hAnsi="Times New Roman"/>
          <w:b/>
          <w:sz w:val="24"/>
        </w:rPr>
        <w:t>Autor: Juliano Cardona</w:t>
        <w:br/>
      </w:r>
      <w:r>
        <w:rPr>
          <w:rFonts w:ascii="Times New Roman" w:hAnsi="Times New Roman"/>
          <w:b/>
          <w:sz w:val="24"/>
        </w:rPr>
        <w:t>C.I.: 32.281.199</w:t>
      </w:r>
    </w:p>
    <w:p>
      <w:pPr>
        <w:spacing w:line="276" w:lineRule="auto" w:before="2309" w:after="0"/>
        <w:jc w:val="center"/>
      </w:pPr>
      <w:r>
        <w:rPr>
          <w:rFonts w:ascii="Times New Roman" w:hAnsi="Times New Roman"/>
          <w:sz w:val="24"/>
        </w:rPr>
        <w:t>El Tigre, julio de 2026</w:t>
      </w:r>
    </w:p>
    <w:p>
      <w:pPr>
        <w:sectPr>
          <w:footerReference w:type="default" r:id="rId11"/>
          <w:pgSz w:w="12240" w:h="15840"/>
          <w:pgMar w:top="1701" w:right="1701" w:bottom="1701" w:left="2268" w:header="720" w:footer="720" w:gutter="0"/>
          <w:cols w:space="720"/>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12"/>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la Empresa Mixta Petrolera Venangocupet, S.A., entidad filial de la Corporación Venezolana de Petróleo (CVP). Su actividad principal se centra en la exploración y producción primaria de hidrocarburos, operando bajo los lineamientos estratégicos de la División Ayacucho de la Faja Petrolífera del Orinoco.</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Maximizar la recuperación eficiente y segura de las reservas de hidrocarburos asignadas.</w:t>
      </w:r>
    </w:p>
    <w:p>
      <w:pPr>
        <w:spacing w:line="360" w:lineRule="auto"/>
        <w:ind w:firstLine="709"/>
        <w:jc w:val="both"/>
      </w:pPr>
      <w:r>
        <w:rPr>
          <w:rFonts w:ascii="Times New Roman" w:hAnsi="Times New Roman"/>
          <w:sz w:val="24"/>
        </w:rPr>
        <w:t xml:space="preserve">2.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3. </w:t>
      </w:r>
      <w:r>
        <w:rPr>
          <w:rFonts w:ascii="Times New Roman" w:hAnsi="Times New Roman"/>
          <w:sz w:val="24"/>
        </w:rPr>
        <w:t>Garantizar la trazabilidad y el reporte oportuno de la información administrativa de la empresa.</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1" name="Picture 1"/>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0000"/>
            <wp:docPr id="2" name="Picture 2"/>
            <wp:cNvGraphicFramePr>
              <a:graphicFrameLocks noChangeAspect="1"/>
            </wp:cNvGraphicFramePr>
            <a:graphic>
              <a:graphicData uri="http://schemas.openxmlformats.org/drawingml/2006/picture">
                <pic:pic>
                  <pic:nvPicPr>
                    <pic:cNvPr id="0" name="2.png"/>
                    <pic:cNvPicPr/>
                  </pic:nvPicPr>
                  <pic:blipFill>
                    <a:blip r:embed="rId10"/>
                    <a:stretch>
                      <a:fillRect/>
                    </a:stretch>
                  </pic:blipFill>
                  <pic:spPr>
                    <a:xfrm>
                      <a:off x="0" y="0"/>
                      <a:ext cx="4320000" cy="2880000"/>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1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14"/>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701"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98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2551"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701"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98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2551"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701"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98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2551"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701"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98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4448"/>
        <w:gridCol w:w="424"/>
        <w:gridCol w:w="424"/>
        <w:gridCol w:w="424"/>
        <w:gridCol w:w="424"/>
        <w:gridCol w:w="424"/>
        <w:gridCol w:w="424"/>
        <w:gridCol w:w="424"/>
        <w:gridCol w:w="424"/>
        <w:gridCol w:w="424"/>
      </w:tblGrid>
      <w:tr>
        <w:tc>
          <w:tcPr>
            <w:tcW w:w="4448"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424" w:type="dxa"/>
            <w:shd w:val="clear" w:color="auto" w:fill="4472C4"/>
          </w:tcPr>
          <w:p>
            <w:pPr>
              <w:spacing w:before="60" w:after="60" w:line="240" w:lineRule="auto"/>
              <w:jc w:val="center"/>
            </w:pPr>
            <w:r>
              <w:rPr>
                <w:rFonts w:ascii="Times New Roman" w:hAnsi="Times New Roman"/>
                <w:b/>
                <w:color w:val="FFFFFF"/>
                <w:sz w:val="18"/>
              </w:rPr>
              <w:t>S1</w:t>
            </w:r>
          </w:p>
        </w:tc>
        <w:tc>
          <w:tcPr>
            <w:tcW w:w="424" w:type="dxa"/>
            <w:shd w:val="clear" w:color="auto" w:fill="4472C4"/>
          </w:tcPr>
          <w:p>
            <w:pPr>
              <w:spacing w:before="60" w:after="60" w:line="240" w:lineRule="auto"/>
              <w:jc w:val="center"/>
            </w:pPr>
            <w:r>
              <w:rPr>
                <w:rFonts w:ascii="Times New Roman" w:hAnsi="Times New Roman"/>
                <w:b/>
                <w:color w:val="FFFFFF"/>
                <w:sz w:val="18"/>
              </w:rPr>
              <w:t>S2</w:t>
            </w:r>
          </w:p>
        </w:tc>
        <w:tc>
          <w:tcPr>
            <w:tcW w:w="424" w:type="dxa"/>
            <w:shd w:val="clear" w:color="auto" w:fill="4472C4"/>
          </w:tcPr>
          <w:p>
            <w:pPr>
              <w:spacing w:before="60" w:after="60" w:line="240" w:lineRule="auto"/>
              <w:jc w:val="center"/>
            </w:pPr>
            <w:r>
              <w:rPr>
                <w:rFonts w:ascii="Times New Roman" w:hAnsi="Times New Roman"/>
                <w:b/>
                <w:color w:val="FFFFFF"/>
                <w:sz w:val="18"/>
              </w:rPr>
              <w:t>S3</w:t>
            </w:r>
          </w:p>
        </w:tc>
        <w:tc>
          <w:tcPr>
            <w:tcW w:w="424" w:type="dxa"/>
            <w:shd w:val="clear" w:color="auto" w:fill="4472C4"/>
          </w:tcPr>
          <w:p>
            <w:pPr>
              <w:spacing w:before="60" w:after="60" w:line="240" w:lineRule="auto"/>
              <w:jc w:val="center"/>
            </w:pPr>
            <w:r>
              <w:rPr>
                <w:rFonts w:ascii="Times New Roman" w:hAnsi="Times New Roman"/>
                <w:b/>
                <w:color w:val="FFFFFF"/>
                <w:sz w:val="18"/>
              </w:rPr>
              <w:t>S4</w:t>
            </w:r>
          </w:p>
        </w:tc>
        <w:tc>
          <w:tcPr>
            <w:tcW w:w="424" w:type="dxa"/>
            <w:shd w:val="clear" w:color="auto" w:fill="4472C4"/>
          </w:tcPr>
          <w:p>
            <w:pPr>
              <w:spacing w:before="60" w:after="60" w:line="240" w:lineRule="auto"/>
              <w:jc w:val="center"/>
            </w:pPr>
            <w:r>
              <w:rPr>
                <w:rFonts w:ascii="Times New Roman" w:hAnsi="Times New Roman"/>
                <w:b/>
                <w:color w:val="FFFFFF"/>
                <w:sz w:val="18"/>
              </w:rPr>
              <w:t>S5</w:t>
            </w:r>
          </w:p>
        </w:tc>
        <w:tc>
          <w:tcPr>
            <w:tcW w:w="424" w:type="dxa"/>
            <w:shd w:val="clear" w:color="auto" w:fill="4472C4"/>
          </w:tcPr>
          <w:p>
            <w:pPr>
              <w:spacing w:before="60" w:after="60" w:line="240" w:lineRule="auto"/>
              <w:jc w:val="center"/>
            </w:pPr>
            <w:r>
              <w:rPr>
                <w:rFonts w:ascii="Times New Roman" w:hAnsi="Times New Roman"/>
                <w:b/>
                <w:color w:val="FFFFFF"/>
                <w:sz w:val="18"/>
              </w:rPr>
              <w:t>S6</w:t>
            </w:r>
          </w:p>
        </w:tc>
        <w:tc>
          <w:tcPr>
            <w:tcW w:w="424" w:type="dxa"/>
            <w:shd w:val="clear" w:color="auto" w:fill="4472C4"/>
          </w:tcPr>
          <w:p>
            <w:pPr>
              <w:spacing w:before="60" w:after="60" w:line="240" w:lineRule="auto"/>
              <w:jc w:val="center"/>
            </w:pPr>
            <w:r>
              <w:rPr>
                <w:rFonts w:ascii="Times New Roman" w:hAnsi="Times New Roman"/>
                <w:b/>
                <w:color w:val="FFFFFF"/>
                <w:sz w:val="18"/>
              </w:rPr>
              <w:t>S7</w:t>
            </w:r>
          </w:p>
        </w:tc>
        <w:tc>
          <w:tcPr>
            <w:tcW w:w="424" w:type="dxa"/>
            <w:shd w:val="clear" w:color="auto" w:fill="4472C4"/>
          </w:tcPr>
          <w:p>
            <w:pPr>
              <w:spacing w:before="60" w:after="60" w:line="240" w:lineRule="auto"/>
              <w:jc w:val="center"/>
            </w:pPr>
            <w:r>
              <w:rPr>
                <w:rFonts w:ascii="Times New Roman" w:hAnsi="Times New Roman"/>
                <w:b/>
                <w:color w:val="FFFFFF"/>
                <w:sz w:val="18"/>
              </w:rPr>
              <w:t>S8</w:t>
            </w:r>
          </w:p>
        </w:tc>
        <w:tc>
          <w:tcPr>
            <w:tcW w:w="424" w:type="dxa"/>
            <w:shd w:val="clear" w:color="auto" w:fill="4472C4"/>
          </w:tcPr>
          <w:p>
            <w:pPr>
              <w:spacing w:before="60" w:after="60" w:line="240" w:lineRule="auto"/>
              <w:jc w:val="center"/>
            </w:pPr>
            <w:r>
              <w:rPr>
                <w:rFonts w:ascii="Times New Roman" w:hAnsi="Times New Roman"/>
                <w:b/>
                <w:color w:val="FFFFFF"/>
                <w:sz w:val="18"/>
              </w:rPr>
              <w:t>S9</w:t>
            </w:r>
          </w:p>
        </w:tc>
      </w:tr>
      <w:tr>
        <w:tc>
          <w:tcPr>
            <w:tcW w:w="4448" w:type="dxa"/>
            <w:shd w:val="clear" w:color="auto" w:fill="FFFFFF"/>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Implementación de la base de datos relacional en SQLite.</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Desarrollo de la interfaz gráfica y empaquetado con Wails.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r>
        <w:tc>
          <w:tcPr>
            <w:tcW w:w="4448"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Apoyo en generación de reportes y cierre administrativo.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bl>
    <w:p/>
    <w:sectPr w:rsidR="00FC693F" w:rsidRPr="0006063C" w:rsidSect="00034616">
      <w:footerReference w:type="default" r:id="rId15"/>
      <w:type w:val="continuous"/>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