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DB027E1">
      <w:pPr>
        <w:pBdr/>
        <w:spacing/>
        <w:ind/>
        <w:rPr/>
      </w:pPr>
      <w:r>
        <w:rPr>
          <w:rFonts w:ascii="Times New Roman" w:hAnsi="Times New Roman" w:eastAsia="Times New Roman" w:cs="Times New Roman"/>
          <w:color w:val="000000"/>
        </w:rPr>
        <mc:AlternateContent>
          <mc:Choice Requires="wpg">
            <w:drawing>
              <wp:anchor xmlns:wp="http://schemas.openxmlformats.org/drawingml/2006/wordprocessingDrawing" xmlns:wp14="http://schemas.microsoft.com/office/word/2010/wordprocessingDrawing" distT="0" distB="0" distL="115200" distR="115200" simplePos="0" relativeHeight="251659264" behindDoc="1" locked="0" layoutInCell="1" allowOverlap="1">
                <wp:simplePos x="0" y="0"/>
                <wp:positionH relativeFrom="page">
                  <wp:align>center</wp:align>
                </wp:positionH>
                <wp:positionV relativeFrom="paragraph">
                  <wp:posOffset>-1073042</wp:posOffset>
                </wp:positionV>
                <wp:extent cx="1381760" cy="444500"/>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02926" name=""/>
                        <pic:cNvPicPr>
                          <a:picLocks noChangeAspect="1"/>
                        </pic:cNvPicPr>
                        <pic:nvPr/>
                      </pic:nvPicPr>
                      <pic:blipFill rotWithShape="1">
                        <a:blip r:embed="rId9"/>
                        <a:stretch/>
                      </pic:blipFill>
                      <pic:spPr bwMode="auto">
                        <a:xfrm rot="0" flipH="0" flipV="0">
                          <a:off x="0" y="0"/>
                          <a:ext cx="1381759" cy="4444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page;mso-position-horizontal:center;mso-position-vertical-relative:text;margin-top:-84.49pt;mso-position-vertical:absolute;width:108.80pt;height:35.00pt;mso-wrap-distance-left:9.07pt;mso-wrap-distance-top:0.00pt;mso-wrap-distance-right:9.07pt;mso-wrap-distance-bottom:0.00pt;rotation:0;z-index:1;" stroked="false">
                <v:imagedata r:id="rId9"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60288" behindDoc="1" locked="0" layoutInCell="1" allowOverlap="1">
                <wp:simplePos x="0" y="0"/>
                <wp:positionH relativeFrom="page">
                  <wp:align>center</wp:align>
                </wp:positionH>
                <wp:positionV relativeFrom="paragraph">
                  <wp:posOffset>-535257</wp:posOffset>
                </wp:positionV>
                <wp:extent cx="5414010" cy="1447800"/>
                <wp:effectExtent l="0" t="0" r="0" b="0"/>
                <wp:wrapNone/>
                <wp:docPr id="2" name="Cuadro de texto 1"/>
                <wp:cNvGraphicFramePr/>
                <a:graphic xmlns:a="http://schemas.openxmlformats.org/drawingml/2006/main">
                  <a:graphicData uri="http://schemas.microsoft.com/office/word/2010/wordprocessingShape">
                    <wps:wsp>
                      <wps:cNvPr id="632416546" name=""/>
                      <wps:cNvSpPr txBox="1"/>
                      <wps:spPr bwMode="auto">
                        <a:xfrm rot="0" flipH="0" flipV="0">
                          <a:off x="0" y="0"/>
                          <a:ext cx="5414009" cy="1447799"/>
                        </a:xfrm>
                        <a:prstGeom prst="rect">
                          <a:avLst/>
                        </a:prstGeom>
                        <a:noFill/>
                        <a:ln w="6350">
                          <a:noFill/>
                        </a:ln>
                      </wps:spPr>
                      <wps:txbx>
                        <w:txbxContent>
                          <w:p w14:paraId="20CC9D0D">
                            <w:pPr>
                              <w:pBdr/>
                              <w:spacing/>
                              <w:ind/>
                              <w:jc w:val="center"/>
                              <w:rPr>
                                <w:rFonts w:ascii="Times New Roman" w:hAnsi="Times New Roman" w:cs="Times New Roman"/>
                              </w:rPr>
                            </w:pPr>
                            <w:r>
                              <w:rPr>
                                <w:rFonts w:ascii="Times New Roman" w:hAnsi="Times New Roman" w:eastAsia="Times New Roman" w:cs="Times New Roman"/>
                              </w:rPr>
                              <w:t xml:space="preserve">República Bolivariana de Venezuela</w:t>
                            </w:r>
                            <w:r>
                              <w:rPr>
                                <w:rFonts w:ascii="Times New Roman" w:hAnsi="Times New Roman" w:cs="Times New Roman"/>
                              </w:rPr>
                            </w:r>
                            <w:r>
                              <w:rPr>
                                <w:rFonts w:ascii="Times New Roman" w:hAnsi="Times New Roman" w:cs="Times New Roman"/>
                              </w:rPr>
                            </w:r>
                          </w:p>
                          <w:p w14:paraId="07F7A249">
                            <w:pPr>
                              <w:pBdr/>
                              <w:spacing/>
                              <w:ind/>
                              <w:jc w:val="center"/>
                              <w:rPr>
                                <w:rFonts w:ascii="Times New Roman" w:hAnsi="Times New Roman" w:cs="Times New Roman"/>
                              </w:rPr>
                            </w:pPr>
                            <w:r>
                              <w:rPr>
                                <w:rFonts w:ascii="Times New Roman" w:hAnsi="Times New Roman" w:eastAsia="Times New Roman" w:cs="Times New Roman"/>
                              </w:rPr>
                              <w:t xml:space="preserve">Ministerio del Poder Popular para la Educación</w:t>
                            </w:r>
                            <w:r>
                              <w:rPr>
                                <w:rFonts w:ascii="Times New Roman" w:hAnsi="Times New Roman" w:cs="Times New Roman"/>
                              </w:rPr>
                            </w:r>
                            <w:r>
                              <w:rPr>
                                <w:rFonts w:ascii="Times New Roman" w:hAnsi="Times New Roman" w:cs="Times New Roman"/>
                              </w:rPr>
                            </w:r>
                          </w:p>
                          <w:p w14:paraId="1D95A775">
                            <w:pPr>
                              <w:pBdr/>
                              <w:spacing/>
                              <w:ind/>
                              <w:jc w:val="center"/>
                              <w:rPr>
                                <w:rFonts w:ascii="Times New Roman" w:hAnsi="Times New Roman" w:cs="Times New Roman"/>
                              </w:rPr>
                            </w:pPr>
                            <w:r>
                              <w:rPr>
                                <w:rFonts w:ascii="Times New Roman" w:hAnsi="Times New Roman" w:eastAsia="Times New Roman" w:cs="Times New Roman"/>
                              </w:rPr>
                              <w:t xml:space="preserve">Instituto Universitario de Tecnología “Elías Calixto Pompa”</w:t>
                            </w:r>
                            <w:r>
                              <w:rPr>
                                <w:rFonts w:ascii="Times New Roman" w:hAnsi="Times New Roman" w:cs="Times New Roman"/>
                              </w:rPr>
                            </w:r>
                            <w:r>
                              <w:rPr>
                                <w:rFonts w:ascii="Times New Roman" w:hAnsi="Times New Roman" w:cs="Times New Roman"/>
                              </w:rPr>
                            </w:r>
                          </w:p>
                          <w:p w14:paraId="6F6090EA">
                            <w:pPr>
                              <w:pBdr/>
                              <w:spacing/>
                              <w:ind/>
                              <w:jc w:val="center"/>
                              <w:rPr>
                                <w:rFonts w:ascii="Times New Roman" w:hAnsi="Times New Roman" w:cs="Times New Roman"/>
                              </w:rPr>
                            </w:pPr>
                            <w:r>
                              <w:rPr>
                                <w:rFonts w:ascii="Times New Roman" w:hAnsi="Times New Roman" w:eastAsia="Times New Roman" w:cs="Times New Roman"/>
                              </w:rPr>
                              <w:t xml:space="preserve">El Tigre estado Anzoátegui</w:t>
                            </w:r>
                            <w:r>
                              <w:rPr>
                                <w:rFonts w:ascii="Times New Roman" w:hAnsi="Times New Roman" w:cs="Times New Roman"/>
                              </w:rPr>
                            </w:r>
                            <w:r>
                              <w:rPr>
                                <w:rFonts w:ascii="Times New Roman" w:hAnsi="Times New Roman" w:cs="Times New Roman"/>
                              </w:rPr>
                            </w:r>
                          </w:p>
                        </w:txbxContent>
                      </wps:txbx>
                      <wps:bodyPr vertOverflow="overflow" horzOverflow="overflow" vert="horz" wrap="square" lIns="91440" tIns="45720" rIns="91440" bIns="45720" numCol="1" spcCol="0" rtlCol="0" fromWordArt="0" anchor="t" anchorCtr="0" forceAA="0" compatLnSpc="0">
                        <a:noAutofit/>
                      </wps:bodyPr>
                    </wps:wsp>
                  </a:graphicData>
                </a:graphic>
              </wp:anchor>
            </w:drawing>
          </mc:Choice>
          <mc:Fallback>
            <w:pict>
              <v:shape id="shape 1" o:spid="_x0000_s1" o:spt="202" type="#_x0000_t202" style="position:absolute;z-index:-251660288;o:allowoverlap:true;o:allowincell:true;mso-position-horizontal-relative:page;mso-position-horizontal:center;mso-position-vertical-relative:text;margin-top:-42.15pt;mso-position-vertical:absolute;width:426.30pt;height:114.00pt;mso-wrap-distance-left:9.07pt;mso-wrap-distance-top:0.00pt;mso-wrap-distance-right:9.07pt;mso-wrap-distance-bottom:0.00pt;rotation:0;v-text-anchor:top;visibility:visible;" filled="f" stroked="f" strokeweight="0.50pt">
                <v:textbox inset="0,0,0,0">
                  <w:txbxContent>
                    <w:p w14:paraId="20CC9D0D">
                      <w:pPr>
                        <w:pBdr/>
                        <w:spacing/>
                        <w:ind/>
                        <w:jc w:val="center"/>
                        <w:rPr>
                          <w:rFonts w:ascii="Times New Roman" w:hAnsi="Times New Roman" w:cs="Times New Roman"/>
                        </w:rPr>
                      </w:pPr>
                      <w:r>
                        <w:rPr>
                          <w:rFonts w:ascii="Times New Roman" w:hAnsi="Times New Roman" w:eastAsia="Times New Roman" w:cs="Times New Roman"/>
                        </w:rPr>
                        <w:t xml:space="preserve">República Bolivariana de Venezuela</w:t>
                      </w:r>
                      <w:r>
                        <w:rPr>
                          <w:rFonts w:ascii="Times New Roman" w:hAnsi="Times New Roman" w:cs="Times New Roman"/>
                        </w:rPr>
                      </w:r>
                      <w:r>
                        <w:rPr>
                          <w:rFonts w:ascii="Times New Roman" w:hAnsi="Times New Roman" w:cs="Times New Roman"/>
                        </w:rPr>
                      </w:r>
                    </w:p>
                    <w:p w14:paraId="07F7A249">
                      <w:pPr>
                        <w:pBdr/>
                        <w:spacing/>
                        <w:ind/>
                        <w:jc w:val="center"/>
                        <w:rPr>
                          <w:rFonts w:ascii="Times New Roman" w:hAnsi="Times New Roman" w:cs="Times New Roman"/>
                        </w:rPr>
                      </w:pPr>
                      <w:r>
                        <w:rPr>
                          <w:rFonts w:ascii="Times New Roman" w:hAnsi="Times New Roman" w:eastAsia="Times New Roman" w:cs="Times New Roman"/>
                        </w:rPr>
                        <w:t xml:space="preserve">Ministerio del Poder Popular para la Educación</w:t>
                      </w:r>
                      <w:r>
                        <w:rPr>
                          <w:rFonts w:ascii="Times New Roman" w:hAnsi="Times New Roman" w:cs="Times New Roman"/>
                        </w:rPr>
                      </w:r>
                      <w:r>
                        <w:rPr>
                          <w:rFonts w:ascii="Times New Roman" w:hAnsi="Times New Roman" w:cs="Times New Roman"/>
                        </w:rPr>
                      </w:r>
                    </w:p>
                    <w:p w14:paraId="1D95A775">
                      <w:pPr>
                        <w:pBdr/>
                        <w:spacing/>
                        <w:ind/>
                        <w:jc w:val="center"/>
                        <w:rPr>
                          <w:rFonts w:ascii="Times New Roman" w:hAnsi="Times New Roman" w:cs="Times New Roman"/>
                        </w:rPr>
                      </w:pPr>
                      <w:r>
                        <w:rPr>
                          <w:rFonts w:ascii="Times New Roman" w:hAnsi="Times New Roman" w:eastAsia="Times New Roman" w:cs="Times New Roman"/>
                        </w:rPr>
                        <w:t xml:space="preserve">Instituto Universitario de Tecnología “Elías Calixto Pompa”</w:t>
                      </w:r>
                      <w:r>
                        <w:rPr>
                          <w:rFonts w:ascii="Times New Roman" w:hAnsi="Times New Roman" w:cs="Times New Roman"/>
                        </w:rPr>
                      </w:r>
                      <w:r>
                        <w:rPr>
                          <w:rFonts w:ascii="Times New Roman" w:hAnsi="Times New Roman" w:cs="Times New Roman"/>
                        </w:rPr>
                      </w:r>
                    </w:p>
                    <w:p w14:paraId="6F6090EA">
                      <w:pPr>
                        <w:pBdr/>
                        <w:spacing/>
                        <w:ind/>
                        <w:jc w:val="center"/>
                        <w:rPr>
                          <w:rFonts w:ascii="Times New Roman" w:hAnsi="Times New Roman" w:cs="Times New Roman"/>
                        </w:rPr>
                      </w:pPr>
                      <w:r>
                        <w:rPr>
                          <w:rFonts w:ascii="Times New Roman" w:hAnsi="Times New Roman" w:eastAsia="Times New Roman" w:cs="Times New Roman"/>
                        </w:rPr>
                        <w:t xml:space="preserve">El Tigre estado Anzoátegui</w:t>
                      </w:r>
                      <w:r>
                        <w:rPr>
                          <w:rFonts w:ascii="Times New Roman" w:hAnsi="Times New Roman" w:cs="Times New Roman"/>
                        </w:rPr>
                      </w:r>
                      <w:r>
                        <w:rPr>
                          <w:rFonts w:ascii="Times New Roman" w:hAnsi="Times New Roman" w:cs="Times New Roman"/>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61312" behindDoc="1" locked="0" layoutInCell="1" allowOverlap="1">
                <wp:simplePos x="0" y="0"/>
                <wp:positionH relativeFrom="page">
                  <wp:align>center</wp:align>
                </wp:positionH>
                <wp:positionV relativeFrom="paragraph">
                  <wp:posOffset>1586781</wp:posOffset>
                </wp:positionV>
                <wp:extent cx="5261610" cy="2256946"/>
                <wp:effectExtent l="0" t="0" r="0" b="0"/>
                <wp:wrapNone/>
                <wp:docPr id="3" name="Cuadro de texto 3"/>
                <wp:cNvGraphicFramePr/>
                <a:graphic xmlns:a="http://schemas.openxmlformats.org/drawingml/2006/main">
                  <a:graphicData uri="http://schemas.microsoft.com/office/word/2010/wordprocessingShape">
                    <wps:wsp>
                      <wps:cNvPr id="337202543" name=""/>
                      <wps:cNvSpPr txBox="1"/>
                      <wps:spPr bwMode="auto">
                        <a:xfrm rot="0" flipH="0" flipV="0">
                          <a:off x="0" y="0"/>
                          <a:ext cx="5261609" cy="2256945"/>
                        </a:xfrm>
                        <a:prstGeom prst="rect">
                          <a:avLst/>
                        </a:prstGeom>
                        <a:noFill/>
                        <a:ln w="6350">
                          <a:noFill/>
                        </a:ln>
                      </wps:spPr>
                      <wps:txbx>
                        <w:txbxContent>
                          <w:p w14:paraId="73BE68DC">
                            <w:pPr>
                              <w:pBdr/>
                              <w:spacing/>
                              <w:ind/>
                              <w:jc w:val="center"/>
                              <w:rPr>
                                <w:rFonts w:ascii="Times New Roman" w:hAnsi="Times New Roman" w:cs="Times New Roman"/>
                                <w:sz w:val="40"/>
                                <w:szCs w:val="40"/>
                              </w:rPr>
                            </w:pPr>
                            <w:r>
                              <w:rPr>
                                <w:rFonts w:ascii="Times New Roman" w:hAnsi="Times New Roman" w:eastAsia="Times New Roman" w:cs="Times New Roman"/>
                                <w:sz w:val="40"/>
                                <w:szCs w:val="40"/>
                              </w:rPr>
                              <w:t xml:space="preserve">EVALUACIÓN DEL CONTROL ADMINISTRATIVO APLICADO A LA GESTIÓN DE SOLICITUDES DE SERVICIOS DE TELECOMUNICACIONES EN LA EMPRESA INGENIERÍA DE TELECOMUNICACIONES C.A.</w:t>
                            </w:r>
                            <w:r>
                              <w:rPr>
                                <w:rFonts w:ascii="Times New Roman" w:hAnsi="Times New Roman" w:cs="Times New Roman"/>
                                <w:sz w:val="40"/>
                                <w:szCs w:val="40"/>
                              </w:rPr>
                            </w:r>
                            <w:r>
                              <w:rPr>
                                <w:rFonts w:ascii="Times New Roman" w:hAnsi="Times New Roman" w:cs="Times New Roman"/>
                                <w:sz w:val="40"/>
                                <w:szCs w:val="40"/>
                              </w:rPr>
                            </w:r>
                          </w:p>
                        </w:txbxContent>
                      </wps:txbx>
                      <wps:bodyPr vertOverflow="overflow" horzOverflow="overflow" vert="horz" wrap="square" lIns="91440" tIns="45720" rIns="91440" bIns="45720" numCol="1" spcCol="0" rtlCol="0" fromWordArt="0" anchor="t" anchorCtr="0" forceAA="0" compatLnSpc="0">
                        <a:noAutofit/>
                      </wps:bodyPr>
                    </wps:wsp>
                  </a:graphicData>
                </a:graphic>
              </wp:anchor>
            </w:drawing>
          </mc:Choice>
          <mc:Fallback>
            <w:pict>
              <v:shape id="shape 2" o:spid="_x0000_s2" o:spt="202" type="#_x0000_t202" style="position:absolute;z-index:-251661312;o:allowoverlap:true;o:allowincell:true;mso-position-horizontal-relative:page;mso-position-horizontal:center;mso-position-vertical-relative:text;margin-top:124.94pt;mso-position-vertical:absolute;width:414.30pt;height:177.71pt;mso-wrap-distance-left:9.07pt;mso-wrap-distance-top:0.00pt;mso-wrap-distance-right:9.07pt;mso-wrap-distance-bottom:0.00pt;rotation:0;v-text-anchor:top;visibility:visible;" filled="f" stroked="f" strokeweight="0.50pt">
                <v:textbox inset="0,0,0,0">
                  <w:txbxContent>
                    <w:p w14:paraId="73BE68DC">
                      <w:pPr>
                        <w:pBdr/>
                        <w:spacing/>
                        <w:ind/>
                        <w:jc w:val="center"/>
                        <w:rPr>
                          <w:rFonts w:ascii="Times New Roman" w:hAnsi="Times New Roman" w:cs="Times New Roman"/>
                          <w:sz w:val="40"/>
                          <w:szCs w:val="40"/>
                        </w:rPr>
                      </w:pPr>
                      <w:r>
                        <w:rPr>
                          <w:rFonts w:ascii="Times New Roman" w:hAnsi="Times New Roman" w:eastAsia="Times New Roman" w:cs="Times New Roman"/>
                          <w:sz w:val="40"/>
                          <w:szCs w:val="40"/>
                        </w:rPr>
                        <w:t xml:space="preserve">EVALUACIÓN DEL CONTROL ADMINISTRATIVO APLICADO A LA GESTIÓN DE SOLICITUDES DE SERVICIOS DE TELECOMUNICACIONES EN LA EMPRESA INGENIERÍA DE TELECOMUNICACIONES C.A.</w:t>
                      </w:r>
                      <w:r>
                        <w:rPr>
                          <w:rFonts w:ascii="Times New Roman" w:hAnsi="Times New Roman" w:cs="Times New Roman"/>
                          <w:sz w:val="40"/>
                          <w:szCs w:val="40"/>
                        </w:rPr>
                      </w:r>
                      <w:r>
                        <w:rPr>
                          <w:rFonts w:ascii="Times New Roman" w:hAnsi="Times New Roman" w:cs="Times New Roman"/>
                          <w:sz w:val="40"/>
                          <w:szCs w:val="40"/>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62336" behindDoc="1" locked="0" layoutInCell="1" allowOverlap="1">
                <wp:simplePos x="0" y="0"/>
                <wp:positionH relativeFrom="margin">
                  <wp:align>right</wp:align>
                </wp:positionH>
                <wp:positionV relativeFrom="paragraph">
                  <wp:posOffset>5173081</wp:posOffset>
                </wp:positionV>
                <wp:extent cx="1800177" cy="1202055"/>
                <wp:effectExtent l="0" t="0" r="0" b="0"/>
                <wp:wrapNone/>
                <wp:docPr id="4" name="Cuadro de texto 4"/>
                <wp:cNvGraphicFramePr/>
                <a:graphic xmlns:a="http://schemas.openxmlformats.org/drawingml/2006/main">
                  <a:graphicData uri="http://schemas.microsoft.com/office/word/2010/wordprocessingShape">
                    <wps:wsp>
                      <wps:cNvPr id="138868978" name=""/>
                      <wps:cNvSpPr txBox="1"/>
                      <wps:spPr bwMode="auto">
                        <a:xfrm rot="0" flipH="0" flipV="0">
                          <a:off x="0" y="0"/>
                          <a:ext cx="1800176" cy="1202054"/>
                        </a:xfrm>
                        <a:prstGeom prst="rect">
                          <a:avLst/>
                        </a:prstGeom>
                        <a:noFill/>
                        <a:ln w="6350">
                          <a:noFill/>
                        </a:ln>
                      </wps:spPr>
                      <wps:txbx>
                        <w:txbxContent>
                          <w:p w14:paraId="75151F9D">
                            <w:pPr>
                              <w:pBdr/>
                              <w:spacing/>
                              <w:ind/>
                              <w:contextualSpacing w:val="true"/>
                              <w:rPr>
                                <w:rFonts w:ascii="Times New Roman" w:hAnsi="Times New Roman" w:eastAsia="Times New Roman" w:cs="Times New Roman"/>
                              </w:rPr>
                            </w:pPr>
                            <w:r>
                              <w:rPr>
                                <w:rFonts w:ascii="Times New Roman" w:hAnsi="Times New Roman" w:eastAsia="Times New Roman" w:cs="Times New Roman"/>
                                <w:lang w:val="en-US"/>
                              </w:rPr>
                              <w:t xml:space="preserve">Autor</w:t>
                            </w:r>
                            <w:r>
                              <w:rPr>
                                <w:rFonts w:ascii="Times New Roman" w:hAnsi="Times New Roman" w:eastAsia="Times New Roman" w:cs="Times New Roman"/>
                              </w:rPr>
                              <w:t xml:space="preserve">:</w:t>
                            </w:r>
                            <w:r>
                              <w:rPr>
                                <w:rFonts w:ascii="Times New Roman" w:hAnsi="Times New Roman" w:eastAsia="Times New Roman" w:cs="Times New Roman"/>
                              </w:rPr>
                            </w:r>
                            <w:r>
                              <w:rPr>
                                <w:rFonts w:ascii="Times New Roman" w:hAnsi="Times New Roman" w:eastAsia="Times New Roman" w:cs="Times New Roman"/>
                              </w:rPr>
                            </w:r>
                          </w:p>
                          <w:p w14:paraId="6E6AD151">
                            <w:pPr>
                              <w:pBdr/>
                              <w:spacing/>
                              <w:ind/>
                              <w:contextualSpacing w:val="true"/>
                              <w:rPr>
                                <w:rFonts w:ascii="Times New Roman" w:hAnsi="Times New Roman" w:cs="Times New Roman"/>
                              </w:rPr>
                            </w:pPr>
                            <w:r>
                              <w:rPr>
                                <w:rFonts w:ascii="Times New Roman" w:hAnsi="Times New Roman" w:eastAsia="Times New Roman" w:cs="Times New Roman"/>
                              </w:rPr>
                              <w:t xml:space="preserve">Alrifaai</w:t>
                            </w:r>
                            <w:r>
                              <w:rPr>
                                <w:rFonts w:ascii="Times New Roman" w:hAnsi="Times New Roman" w:eastAsia="Times New Roman" w:cs="Times New Roman"/>
                              </w:rPr>
                              <w:t xml:space="preserve"> </w:t>
                            </w:r>
                            <w:r>
                              <w:rPr>
                                <w:rFonts w:ascii="Times New Roman" w:hAnsi="Times New Roman" w:eastAsia="Times New Roman" w:cs="Times New Roman"/>
                              </w:rPr>
                              <w:t xml:space="preserve">Alrifaaie</w:t>
                            </w:r>
                            <w:r>
                              <w:rPr>
                                <w:rFonts w:ascii="Times New Roman" w:hAnsi="Times New Roman" w:eastAsia="Times New Roman" w:cs="Times New Roman"/>
                              </w:rPr>
                              <w:t xml:space="preserve"> Amaal </w:t>
                            </w:r>
                            <w:r>
                              <w:rPr>
                                <w:rFonts w:ascii="Times New Roman" w:hAnsi="Times New Roman" w:cs="Times New Roman"/>
                              </w:rPr>
                              <w:t xml:space="preserve">31.985.792</w:t>
                            </w:r>
                            <w:r>
                              <w:rPr>
                                <w:rFonts w:ascii="Times New Roman" w:hAnsi="Times New Roman" w:cs="Times New Roman"/>
                              </w:rPr>
                            </w:r>
                            <w:r>
                              <w:rPr>
                                <w:rFonts w:ascii="Times New Roman" w:hAnsi="Times New Roman" w:cs="Times New Roman"/>
                              </w:rPr>
                            </w:r>
                          </w:p>
                        </w:txbxContent>
                      </wps:txbx>
                      <wps:bodyPr vertOverflow="overflow" horzOverflow="overflow" vert="horz" wrap="square" lIns="91440" tIns="45720" rIns="91440" bIns="45720" numCol="1" spcCol="0" rtlCol="0" fromWordArt="0" anchor="t" anchorCtr="0" forceAA="0" compatLnSpc="0">
                        <a:noAutofit/>
                      </wps:bodyPr>
                    </wps:wsp>
                  </a:graphicData>
                </a:graphic>
              </wp:anchor>
            </w:drawing>
          </mc:Choice>
          <mc:Fallback>
            <w:pict>
              <v:shape id="shape 3" o:spid="_x0000_s3" o:spt="202" type="#_x0000_t202" style="position:absolute;z-index:-251662336;o:allowoverlap:true;o:allowincell:true;mso-position-horizontal-relative:margin;mso-position-horizontal:right;mso-position-vertical-relative:text;margin-top:407.33pt;mso-position-vertical:absolute;width:141.75pt;height:94.65pt;mso-wrap-distance-left:9.07pt;mso-wrap-distance-top:0.00pt;mso-wrap-distance-right:9.07pt;mso-wrap-distance-bottom:0.00pt;rotation:0;v-text-anchor:top;visibility:visible;" filled="f" stroked="f" strokeweight="0.50pt">
                <v:textbox inset="0,0,0,0">
                  <w:txbxContent>
                    <w:p w14:paraId="75151F9D">
                      <w:pPr>
                        <w:pBdr/>
                        <w:spacing/>
                        <w:ind/>
                        <w:contextualSpacing w:val="true"/>
                        <w:rPr>
                          <w:rFonts w:ascii="Times New Roman" w:hAnsi="Times New Roman" w:eastAsia="Times New Roman" w:cs="Times New Roman"/>
                        </w:rPr>
                      </w:pPr>
                      <w:r>
                        <w:rPr>
                          <w:rFonts w:ascii="Times New Roman" w:hAnsi="Times New Roman" w:eastAsia="Times New Roman" w:cs="Times New Roman"/>
                          <w:lang w:val="en-US"/>
                        </w:rPr>
                        <w:t xml:space="preserve">Autor</w:t>
                      </w:r>
                      <w:r>
                        <w:rPr>
                          <w:rFonts w:ascii="Times New Roman" w:hAnsi="Times New Roman" w:eastAsia="Times New Roman" w:cs="Times New Roman"/>
                        </w:rPr>
                        <w:t xml:space="preserve">:</w:t>
                      </w:r>
                      <w:r>
                        <w:rPr>
                          <w:rFonts w:ascii="Times New Roman" w:hAnsi="Times New Roman" w:eastAsia="Times New Roman" w:cs="Times New Roman"/>
                        </w:rPr>
                      </w:r>
                      <w:r>
                        <w:rPr>
                          <w:rFonts w:ascii="Times New Roman" w:hAnsi="Times New Roman" w:eastAsia="Times New Roman" w:cs="Times New Roman"/>
                        </w:rPr>
                      </w:r>
                    </w:p>
                    <w:p w14:paraId="6E6AD151">
                      <w:pPr>
                        <w:pBdr/>
                        <w:spacing/>
                        <w:ind/>
                        <w:contextualSpacing w:val="true"/>
                        <w:rPr>
                          <w:rFonts w:ascii="Times New Roman" w:hAnsi="Times New Roman" w:cs="Times New Roman"/>
                        </w:rPr>
                      </w:pPr>
                      <w:r>
                        <w:rPr>
                          <w:rFonts w:ascii="Times New Roman" w:hAnsi="Times New Roman" w:eastAsia="Times New Roman" w:cs="Times New Roman"/>
                        </w:rPr>
                        <w:t xml:space="preserve">Alrifaai</w:t>
                      </w:r>
                      <w:r>
                        <w:rPr>
                          <w:rFonts w:ascii="Times New Roman" w:hAnsi="Times New Roman" w:eastAsia="Times New Roman" w:cs="Times New Roman"/>
                        </w:rPr>
                        <w:t xml:space="preserve"> </w:t>
                      </w:r>
                      <w:r>
                        <w:rPr>
                          <w:rFonts w:ascii="Times New Roman" w:hAnsi="Times New Roman" w:eastAsia="Times New Roman" w:cs="Times New Roman"/>
                        </w:rPr>
                        <w:t xml:space="preserve">Alrifaaie</w:t>
                      </w:r>
                      <w:r>
                        <w:rPr>
                          <w:rFonts w:ascii="Times New Roman" w:hAnsi="Times New Roman" w:eastAsia="Times New Roman" w:cs="Times New Roman"/>
                        </w:rPr>
                        <w:t xml:space="preserve"> Amaal </w:t>
                      </w:r>
                      <w:r>
                        <w:rPr>
                          <w:rFonts w:ascii="Times New Roman" w:hAnsi="Times New Roman" w:cs="Times New Roman"/>
                        </w:rPr>
                        <w:t xml:space="preserve">31.985.792</w:t>
                      </w:r>
                      <w:r>
                        <w:rPr>
                          <w:rFonts w:ascii="Times New Roman" w:hAnsi="Times New Roman" w:cs="Times New Roman"/>
                        </w:rPr>
                      </w:r>
                      <w:r>
                        <w:rPr>
                          <w:rFonts w:ascii="Times New Roman" w:hAnsi="Times New Roman" w:cs="Times New Roman"/>
                        </w:rP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251663360" behindDoc="1" locked="0" layoutInCell="1" allowOverlap="1">
                <wp:simplePos x="0" y="0"/>
                <wp:positionH relativeFrom="page">
                  <wp:align>center</wp:align>
                </wp:positionH>
                <wp:positionV relativeFrom="paragraph">
                  <wp:posOffset>6481085</wp:posOffset>
                </wp:positionV>
                <wp:extent cx="1219267" cy="327583"/>
                <wp:effectExtent l="0" t="0" r="0" b="0"/>
                <wp:wrapNone/>
                <wp:docPr id="5" name="Cuadro de texto 5"/>
                <wp:cNvGraphicFramePr/>
                <a:graphic xmlns:a="http://schemas.openxmlformats.org/drawingml/2006/main">
                  <a:graphicData uri="http://schemas.microsoft.com/office/word/2010/wordprocessingShape">
                    <wps:wsp>
                      <wps:cNvPr id="1474269966" name=""/>
                      <wps:cNvSpPr txBox="1"/>
                      <wps:spPr bwMode="auto">
                        <a:xfrm rot="0" flipH="0" flipV="0">
                          <a:off x="0" y="0"/>
                          <a:ext cx="1219266" cy="327582"/>
                        </a:xfrm>
                        <a:prstGeom prst="rect">
                          <a:avLst/>
                        </a:prstGeom>
                        <a:noFill/>
                        <a:ln w="6350">
                          <a:noFill/>
                        </a:ln>
                      </wps:spPr>
                      <wps:txbx>
                        <w:txbxContent>
                          <w:p w14:paraId="50319CE0">
                            <w:pPr>
                              <w:pBdr/>
                              <w:spacing/>
                              <w:ind/>
                              <w:jc w:val="center"/>
                              <w:rPr>
                                <w:rFonts w:ascii="Times New Roman" w:hAnsi="Times New Roman" w:cs="Times New Roman"/>
                              </w:rPr>
                            </w:pPr>
                            <w:r>
                              <w:rPr>
                                <w:rFonts w:ascii="Times New Roman" w:hAnsi="Times New Roman" w:eastAsia="Times New Roman" w:cs="Times New Roman"/>
                              </w:rPr>
                              <w:t xml:space="preserve">2</w:t>
                            </w:r>
                            <w:r>
                              <w:rPr>
                                <w:rFonts w:ascii="Times New Roman" w:hAnsi="Times New Roman" w:eastAsia="Times New Roman" w:cs="Times New Roman"/>
                                <w:lang w:val="es-ES"/>
                              </w:rPr>
                              <w:t xml:space="preserve">8</w:t>
                            </w:r>
                            <w:r>
                              <w:rPr>
                                <w:rFonts w:ascii="Times New Roman" w:hAnsi="Times New Roman" w:eastAsia="Times New Roman" w:cs="Times New Roman"/>
                              </w:rPr>
                              <w:t xml:space="preserve">/06/2026</w:t>
                            </w:r>
                            <w:r>
                              <w:rPr>
                                <w:rFonts w:ascii="Times New Roman" w:hAnsi="Times New Roman" w:cs="Times New Roman"/>
                              </w:rPr>
                            </w:r>
                            <w:r>
                              <w:rPr>
                                <w:rFonts w:ascii="Times New Roman" w:hAnsi="Times New Roman" w:cs="Times New Roman"/>
                              </w:rPr>
                            </w:r>
                          </w:p>
                        </w:txbxContent>
                      </wps:txbx>
                      <wps:bodyPr vertOverflow="overflow" horzOverflow="overflow" vert="horz" wrap="square" lIns="91440" tIns="45720" rIns="91440" bIns="45720" numCol="1" spcCol="0" rtlCol="0" fromWordArt="0" anchor="t" anchorCtr="0" forceAA="0" compatLnSpc="0"/>
                    </wps:wsp>
                  </a:graphicData>
                </a:graphic>
              </wp:anchor>
            </w:drawing>
          </mc:Choice>
          <mc:Fallback>
            <w:pict>
              <v:shape id="shape 4" o:spid="_x0000_s4" o:spt="202" type="#_x0000_t202" style="position:absolute;z-index:-251663360;o:allowoverlap:true;o:allowincell:true;mso-position-horizontal-relative:page;mso-position-horizontal:center;mso-position-vertical-relative:text;margin-top:510.32pt;mso-position-vertical:absolute;width:96.01pt;height:25.79pt;mso-wrap-distance-left:9.07pt;mso-wrap-distance-top:0.00pt;mso-wrap-distance-right:9.07pt;mso-wrap-distance-bottom:0.00pt;rotation:0;v-text-anchor:top;visibility:visible;" filled="f" stroked="f" strokeweight="0.50pt">
                <v:textbox inset="0,0,0,0">
                  <w:txbxContent>
                    <w:p w14:paraId="50319CE0">
                      <w:pPr>
                        <w:pBdr/>
                        <w:spacing/>
                        <w:ind/>
                        <w:jc w:val="center"/>
                        <w:rPr>
                          <w:rFonts w:ascii="Times New Roman" w:hAnsi="Times New Roman" w:cs="Times New Roman"/>
                        </w:rPr>
                      </w:pPr>
                      <w:r>
                        <w:rPr>
                          <w:rFonts w:ascii="Times New Roman" w:hAnsi="Times New Roman" w:eastAsia="Times New Roman" w:cs="Times New Roman"/>
                        </w:rPr>
                        <w:t xml:space="preserve">2</w:t>
                      </w:r>
                      <w:r>
                        <w:rPr>
                          <w:rFonts w:ascii="Times New Roman" w:hAnsi="Times New Roman" w:eastAsia="Times New Roman" w:cs="Times New Roman"/>
                          <w:lang w:val="es-ES"/>
                        </w:rPr>
                        <w:t xml:space="preserve">8</w:t>
                      </w:r>
                      <w:r>
                        <w:rPr>
                          <w:rFonts w:ascii="Times New Roman" w:hAnsi="Times New Roman" w:eastAsia="Times New Roman" w:cs="Times New Roman"/>
                        </w:rPr>
                        <w:t xml:space="preserve">/06/2026</w:t>
                      </w:r>
                      <w:r>
                        <w:rPr>
                          <w:rFonts w:ascii="Times New Roman" w:hAnsi="Times New Roman" w:cs="Times New Roman"/>
                        </w:rPr>
                      </w:r>
                      <w:r>
                        <w:rPr>
                          <w:rFonts w:ascii="Times New Roman" w:hAnsi="Times New Roman" w:cs="Times New Roman"/>
                        </w:rPr>
                      </w:r>
                    </w:p>
                  </w:txbxContent>
                </v:textbox>
              </v:shape>
            </w:pict>
          </mc:Fallback>
        </mc:AlternateContent>
      </w:r>
      <w:r/>
      <w:r/>
    </w:p>
    <w:p w14:paraId="2E3A0642" w14:textId="77777777">
      <w:pPr>
        <w:pBdr/>
        <w:spacing w:after="480" w:line="360" w:lineRule="auto"/>
        <w:ind/>
        <w:jc w:val="center"/>
        <w:rPr>
          <w:rFonts w:ascii="Times New Roman" w:hAnsi="Times New Roman" w:cs="Times New Roman"/>
          <w:b/>
          <w:bCs/>
          <w:caps/>
        </w:rPr>
      </w:pPr>
      <w:r>
        <w:rPr>
          <w:rFonts w:ascii="Times New Roman" w:hAnsi="Times New Roman" w:cs="Times New Roman"/>
          <w:b/>
          <w:bCs/>
          <w:caps/>
        </w:rPr>
      </w:r>
      <w:r>
        <w:rPr>
          <w:rFonts w:ascii="Times New Roman" w:hAnsi="Times New Roman" w:cs="Times New Roman"/>
          <w:b/>
          <w:bCs/>
          <w:caps/>
        </w:rPr>
      </w:r>
    </w:p>
    <w:p w14:paraId="6C5A3B0A" w14:textId="77777777">
      <w:pPr>
        <w:pBdr/>
        <w:spacing/>
        <w:ind/>
        <w:rPr>
          <w:rFonts w:ascii="Times New Roman" w:hAnsi="Times New Roman" w:cs="Times New Roman"/>
          <w:b/>
          <w:bCs/>
          <w:caps/>
        </w:rPr>
      </w:pPr>
      <w:r>
        <w:rPr>
          <w:rFonts w:ascii="Times New Roman" w:hAnsi="Times New Roman" w:cs="Times New Roman"/>
          <w:b/>
          <w:bCs/>
          <w:caps/>
        </w:rPr>
        <w:br w:type="page" w:clear="all"/>
      </w:r>
      <w:r>
        <w:rPr>
          <w:rFonts w:ascii="Times New Roman" w:hAnsi="Times New Roman" w:cs="Times New Roman"/>
          <w:b/>
          <w:bCs/>
          <w:caps/>
        </w:rPr>
      </w:r>
    </w:p>
    <w:p w14:paraId="6F19894D" w14:textId="030EDDA8">
      <w:pPr>
        <w:pBdr/>
        <w:spacing w:after="480" w:line="360" w:lineRule="auto"/>
        <w:ind/>
        <w:jc w:val="center"/>
        <w:rPr>
          <w:b/>
          <w:bCs/>
          <w:caps/>
          <w14:ligatures w14:val="none"/>
        </w:rPr>
      </w:pPr>
      <w:r>
        <w:rPr>
          <w:b/>
          <w:bCs/>
          <w:caps/>
          <w:lang w:val="undefined"/>
        </w:rPr>
        <w:t xml:space="preserve">CAPÍTULO I</w:t>
      </w:r>
      <w:r>
        <w:rPr>
          <w:b/>
          <w:bCs/>
          <w:caps/>
          <w:lang w:val="undefined"/>
        </w:rPr>
      </w:r>
    </w:p>
    <w:p w14:paraId="41B55193" w14:textId="77777777">
      <w:pPr>
        <w:pBdr/>
        <w:spacing w:after="480" w:line="360" w:lineRule="auto"/>
        <w:ind/>
        <w:jc w:val="center"/>
        <w:rPr/>
      </w:pPr>
      <w:r>
        <w:rPr>
          <w:b/>
          <w:bCs/>
          <w:caps/>
        </w:rPr>
        <w:t xml:space="preserve">REALIDAD ORGANIZACIONAL</w:t>
      </w:r>
      <w:r/>
    </w:p>
    <w:p w14:paraId="64073EF4" w14:textId="77777777">
      <w:pPr>
        <w:pBdr/>
        <w:spacing w:after="480" w:before="480" w:line="360" w:lineRule="auto"/>
        <w:ind/>
        <w:jc w:val="center"/>
        <w:rPr/>
      </w:pPr>
      <w:r>
        <w:rPr>
          <w:b/>
          <w:bCs/>
          <w:caps/>
        </w:rPr>
        <w:t xml:space="preserve">Identificación de la Empresa</w:t>
      </w:r>
      <w:r/>
    </w:p>
    <w:p w14:paraId="05070C95" w14:textId="77777777">
      <w:pPr>
        <w:pBdr/>
        <w:spacing w:line="360" w:lineRule="auto"/>
        <w:ind w:firstLine="720"/>
        <w:jc w:val="both"/>
        <w:rPr/>
      </w:pPr>
      <w:r>
        <w:t xml:space="preserve">La pasantía profesional se llevó a cabo en Ingeniería de Telecomunicaciones, C.A., empresa del sector tecnológico conocida comercialmente bajo las siglas IDETEL o INTELCA, registrada bajo e</w:t>
      </w:r>
      <w:r>
        <w:t xml:space="preserve">l Registro de Información Fiscal (RIF) N° J-08011691-7. La organización actúa como operador autorizado por la Comisión Nacional de Telecomunicaciones (CONATEL) y se desempeña como Distribuidor Autorizado de la marca Motorola en la región oriental del país.</w:t>
      </w:r>
      <w:r/>
    </w:p>
    <w:p w14:paraId="7A7A5FDB" w14:textId="77777777">
      <w:pPr>
        <w:pBdr/>
        <w:spacing w:after="480" w:before="480" w:line="360" w:lineRule="auto"/>
        <w:ind/>
        <w:jc w:val="center"/>
        <w:rPr/>
      </w:pPr>
      <w:r>
        <w:rPr>
          <w:b/>
          <w:bCs/>
          <w:caps/>
        </w:rPr>
        <w:t xml:space="preserve">Reseña Histórica</w:t>
      </w:r>
      <w:r/>
    </w:p>
    <w:p w14:paraId="43BC4972" w14:textId="77777777">
      <w:pPr>
        <w:pBdr/>
        <w:spacing w:line="360" w:lineRule="auto"/>
        <w:ind w:firstLine="720"/>
        <w:jc w:val="both"/>
        <w:rPr/>
      </w:pPr>
      <w:r>
        <w:t xml:space="preserve">Ingen</w:t>
      </w:r>
      <w:r>
        <w:t xml:space="preserve">iería de Telecomunicaciones, C.A. se consolidó en la ciudad de El Tigre, estado Anzoátegui, acumulando una trayectoria de más de cuatro (4) décadas en el mercado tecnológico de la región oriental de Venezuela. Un hito fundamental en su evolución histórica </w:t>
      </w:r>
      <w:r>
        <w:t xml:space="preserve">se remonta al año 1983, cuando la organización se convirtió en el primer Distribuidor Autorizado Motorola para sistemas de radio de dos vías en el oriente del país, alianza estratégica que se ha mantenido vigente e ininterrumpida a lo largo de las décadas.</w:t>
      </w:r>
      <w:r/>
    </w:p>
    <w:p w14:paraId="295A820B" w14:textId="77777777">
      <w:pPr>
        <w:pBdr/>
        <w:spacing w:line="360" w:lineRule="auto"/>
        <w:ind/>
        <w:rPr/>
      </w:pPr>
      <w:r/>
      <w:r/>
    </w:p>
    <w:p w14:paraId="103B9B7E" w14:textId="77777777">
      <w:pPr>
        <w:pBdr/>
        <w:spacing w:line="360" w:lineRule="auto"/>
        <w:ind w:firstLine="720"/>
        <w:jc w:val="both"/>
        <w:rPr/>
      </w:pPr>
      <w:r>
        <w:t xml:space="preserve">A través de los años, im</w:t>
      </w:r>
      <w:r>
        <w:t xml:space="preserve">pulsada por las demandas operativas de la Faja Petrolífera del Orinoco y las necesidades de conectividad comercial, la empresa expandió sus líneas tecnológicas progresivamente. Pasó de suministrar sistemas de radiocomunicación analógica convencional en ban</w:t>
      </w:r>
      <w:r>
        <w:t xml:space="preserve">das VHF/UHF y sistemas Trunking analógicos (800 MHz), a liderar el mercado regional con tecnologías de radiocomunicación digital de gama alta como los estándares TETRA (europeo) y P25 (americano), esenciales para operaciones industriales de misión crítica.</w:t>
      </w:r>
      <w:r/>
    </w:p>
    <w:p w14:paraId="59C8ECCA" w14:textId="77777777">
      <w:pPr>
        <w:pBdr/>
        <w:spacing w:line="360" w:lineRule="auto"/>
        <w:ind/>
        <w:rPr/>
      </w:pPr>
      <w:r/>
      <w:r/>
    </w:p>
    <w:p w14:paraId="0C30EE2F" w14:textId="77777777">
      <w:pPr>
        <w:pBdr/>
        <w:spacing w:line="360" w:lineRule="auto"/>
        <w:ind w:firstLine="720"/>
        <w:jc w:val="both"/>
        <w:rPr/>
      </w:pPr>
      <w:r>
        <w:t xml:space="preserve">Con la maduración del sector tecnológico, IDETEL incorporó a su portafolio soluciones de ampliación de cobertura inalámbrica, enlaces de microondas en bandas licenciad</w:t>
      </w:r>
      <w:r>
        <w:t xml:space="preserve">as y no licenciadas, redes de telemetría y telecomunicaciones alámbricas, consolidando su modelo de negocios en torno a Proyectos IPC (Ingeniería, Procura y Construcción), respaldado por un laboratorio técnico especializado y personal altamente calificado.</w:t>
      </w:r>
      <w:r/>
    </w:p>
    <w:p w14:paraId="4C2E2AA9" w14:textId="77777777">
      <w:pPr>
        <w:pBdr/>
        <w:spacing w:after="480" w:before="480" w:line="360" w:lineRule="auto"/>
        <w:ind/>
        <w:jc w:val="center"/>
        <w:rPr/>
      </w:pPr>
      <w:r>
        <w:rPr>
          <w:b/>
          <w:bCs/>
          <w:caps/>
        </w:rPr>
        <w:t xml:space="preserve">Misión</w:t>
      </w:r>
      <w:r/>
    </w:p>
    <w:p w14:paraId="222767F8" w14:textId="77777777">
      <w:pPr>
        <w:pBdr/>
        <w:spacing w:line="360" w:lineRule="auto"/>
        <w:ind w:firstLine="720"/>
        <w:jc w:val="both"/>
        <w:rPr/>
      </w:pPr>
      <w:r>
        <w:t xml:space="preserve">Brindar soluciones con altos estándares de confiabilidad en servicios de radiocomunicación y</w:t>
      </w:r>
      <w:r>
        <w:t xml:space="preserve"> datos al segmento de mercado PyME, así como la entrega de servicios de calidad en el sector petrolero, asociados a los esfuerzos en ingeniería (integración multidisciplinaria), planificación y ejecución de proyectos de telecomunicaciones y automatización.</w:t>
      </w:r>
      <w:r/>
    </w:p>
    <w:p w14:paraId="5CCC4F03" w14:textId="77777777">
      <w:pPr>
        <w:pBdr/>
        <w:spacing w:after="480" w:before="480" w:line="360" w:lineRule="auto"/>
        <w:ind/>
        <w:jc w:val="center"/>
        <w:rPr/>
      </w:pPr>
      <w:r>
        <w:rPr>
          <w:b/>
          <w:bCs/>
          <w:caps/>
        </w:rPr>
        <w:t xml:space="preserve">Visión</w:t>
      </w:r>
      <w:r/>
    </w:p>
    <w:p w14:paraId="25000F97" w14:textId="77777777">
      <w:pPr>
        <w:pBdr/>
        <w:spacing w:line="360" w:lineRule="auto"/>
        <w:ind w:firstLine="720"/>
        <w:jc w:val="both"/>
        <w:rPr/>
      </w:pPr>
      <w:r>
        <w:t xml:space="preserve">Ser reconocidos por los clientes como un proveedor de servicios altamente confiable y con altos estándares técnicos y de ingeniería, con capacidad de brindar soluciones multidisciplinarias en el área de automatización y t</w:t>
      </w:r>
      <w:r>
        <w:t xml:space="preserve">elecomunicaciones, fortaleciendo continuamente el capital humano mediante capacitación y mejora progresiva de las instalaciones, con el fin de obtener la innovación, competitividad y liderazgo necesarios para sobresalir en el mercado de nuevas tecnologías.</w:t>
      </w:r>
      <w:r/>
    </w:p>
    <w:p w14:paraId="0E62E41B" w14:textId="77777777">
      <w:pPr>
        <w:pBdr/>
        <w:spacing w:after="480" w:before="480" w:line="360" w:lineRule="auto"/>
        <w:ind/>
        <w:jc w:val="center"/>
        <w:rPr/>
      </w:pPr>
      <w:r>
        <w:rPr>
          <w:b/>
          <w:bCs/>
          <w:caps/>
        </w:rPr>
        <w:t xml:space="preserve">Valores</w:t>
      </w:r>
      <w:r/>
    </w:p>
    <w:p w14:paraId="02D5A7E5" w14:textId="77777777">
      <w:pPr>
        <w:pBdr/>
        <w:spacing w:line="360" w:lineRule="auto"/>
        <w:ind w:firstLine="720"/>
        <w:jc w:val="both"/>
        <w:rPr/>
      </w:pPr>
      <w:r>
        <w:t xml:space="preserve">La filosofía y cultura corporativa de Ingeniería de Telecomunicaciones, C.A. se sostiene sobre los siguientes valores fundamentales que orientan la conducta institucional y profesional de su talento humano:</w:t>
      </w:r>
      <w:r/>
    </w:p>
    <w:p w14:paraId="5996A5A0" w14:textId="77777777">
      <w:pPr>
        <w:pBdr/>
        <w:spacing w:line="360" w:lineRule="auto"/>
        <w:ind/>
        <w:rPr/>
      </w:pPr>
      <w:r/>
      <w:r/>
    </w:p>
    <w:p w14:paraId="035CD621" w14:textId="77777777">
      <w:pPr>
        <w:pBdr/>
        <w:spacing w:line="360" w:lineRule="auto"/>
        <w:ind w:firstLine="720"/>
        <w:jc w:val="both"/>
        <w:rPr/>
      </w:pPr>
      <w:r>
        <w:t xml:space="preserve">Confiabilidad: Compromiso de entregar soluciones tecnológicas robustas que cumplan con los más altos estándares técnicos y de ingeniería para garantizar operaciones continuas y seguras.</w:t>
      </w:r>
      <w:r/>
    </w:p>
    <w:p w14:paraId="1B8F62CB" w14:textId="77777777">
      <w:pPr>
        <w:pBdr/>
        <w:spacing w:line="360" w:lineRule="auto"/>
        <w:ind/>
        <w:rPr/>
      </w:pPr>
      <w:r/>
      <w:r/>
    </w:p>
    <w:p w14:paraId="66CDBF10" w14:textId="77777777">
      <w:pPr>
        <w:pBdr/>
        <w:spacing w:line="360" w:lineRule="auto"/>
        <w:ind w:firstLine="720"/>
        <w:jc w:val="both"/>
        <w:rPr/>
      </w:pPr>
      <w:r>
        <w:t xml:space="preserve">Innovación y Competitividad: Búsqueda constante de actualización y adopción de tecnologías de última generación para sobresalir y liderar el mercado de soluciones inalámbricas y ópticas.</w:t>
      </w:r>
      <w:r/>
    </w:p>
    <w:p w14:paraId="7E27C74A" w14:textId="77777777">
      <w:pPr>
        <w:pBdr/>
        <w:spacing w:line="360" w:lineRule="auto"/>
        <w:ind/>
        <w:rPr/>
      </w:pPr>
      <w:r/>
      <w:r/>
    </w:p>
    <w:p w14:paraId="57155319" w14:textId="77777777">
      <w:pPr>
        <w:pBdr/>
        <w:spacing w:line="360" w:lineRule="auto"/>
        <w:ind w:firstLine="720"/>
        <w:jc w:val="both"/>
        <w:rPr/>
      </w:pPr>
      <w:r>
        <w:t xml:space="preserve">Seguridad Laboral e Higiene Ocupacional: Aplicación rigurosa de normas de protección e integridad física del personal en cada obra, instalación en campo o infraestructura crítica atendida.</w:t>
      </w:r>
      <w:r/>
    </w:p>
    <w:p w14:paraId="6821D19A" w14:textId="77777777">
      <w:pPr>
        <w:pBdr/>
        <w:spacing w:line="360" w:lineRule="auto"/>
        <w:ind/>
        <w:rPr/>
      </w:pPr>
      <w:r/>
      <w:r/>
    </w:p>
    <w:p w14:paraId="7472F3E2" w14:textId="77777777">
      <w:pPr>
        <w:pBdr/>
        <w:spacing w:line="360" w:lineRule="auto"/>
        <w:ind w:firstLine="720"/>
        <w:jc w:val="both"/>
        <w:rPr/>
      </w:pPr>
      <w:r>
        <w:t xml:space="preserve">Excelencia Técnica: Orientación hacia la precisión en los procesos de diseño, empalme por fusión, certificación de redes y asesoría en laboratorio.</w:t>
      </w:r>
      <w:r/>
    </w:p>
    <w:p w14:paraId="7903175D" w14:textId="77777777">
      <w:pPr>
        <w:pBdr/>
        <w:spacing w:after="480" w:before="480" w:line="360" w:lineRule="auto"/>
        <w:ind/>
        <w:jc w:val="center"/>
        <w:rPr/>
      </w:pPr>
      <w:r>
        <w:rPr>
          <w:b/>
          <w:bCs/>
          <w:caps/>
        </w:rPr>
        <w:t xml:space="preserve">Objetivos Organizacionales</w:t>
      </w:r>
      <w:r/>
    </w:p>
    <w:p w14:paraId="72003E33" w14:textId="6C502858">
      <w:pPr>
        <w:pBdr/>
        <w:spacing w:line="360" w:lineRule="auto"/>
        <w:ind w:firstLine="720"/>
        <w:jc w:val="both"/>
        <w:rPr/>
      </w:pPr>
      <w:r>
        <w:t xml:space="preserve">La compañía tiene por objeto principal el cumplimiento de todo gé</w:t>
      </w:r>
      <w:r>
        <w:t xml:space="preserve">nero de actividad o la prestación de todo tipo de servicios relacionados directa o indirectamente con el ramo de las comunicaciones, computación y la electrónica en general; incluyendo los servicios de importación, manufacturación, asesoría, ventas, instal</w:t>
      </w:r>
      <w:r>
        <w:t xml:space="preserve">aciones, arrendamientos, supervisión, servicio de mantenimiento, etc., así como también la realización de cualquier otro tipo de negocio lícito en conexión con sus operaciones o que de cualquier forma contribuya a dar o hacer productivas las propiedades o </w:t>
      </w:r>
      <w:r>
        <w:t xml:space="preserve">derechos pertenecientes a la compañía, que a juicio de la Junta Directiva sea necesario anexarles en sujeción al objeto principal. También tendrá la representación total o parcial de cualquier producto comercial relacionado con sus operaciones mercantiles.</w:t>
      </w:r>
      <w:r/>
    </w:p>
    <w:p w14:paraId="0E5F2B7B" w14:textId="77777777">
      <w:pPr>
        <w:pBdr/>
        <w:spacing w:after="480" w:before="480" w:line="360" w:lineRule="auto"/>
        <w:ind/>
        <w:jc w:val="center"/>
        <w:rPr/>
      </w:pPr>
      <w:r>
        <w:rPr>
          <w:b/>
          <w:bCs/>
          <w:caps/>
        </w:rPr>
        <w:t xml:space="preserve">Ubicación Geográfica</w:t>
      </w:r>
      <w:r/>
    </w:p>
    <w:p w14:paraId="7413D862" w14:textId="77777777">
      <w:pPr>
        <w:pBdr/>
        <w:spacing w:line="360" w:lineRule="auto"/>
        <w:ind w:firstLine="720"/>
        <w:jc w:val="both"/>
        <w:rPr>
          <w:highlight w:val="none"/>
        </w:rPr>
      </w:pPr>
      <w:r>
        <w:t xml:space="preserve">La sede administrativa y operativa de Ingeniería de Telecomunicaciones, C.A. se encuentra ubicada en la Calle Bolívar, Edificio La Suiza, Piso 1, Oficina Nro. 28, ciudad de El Tigre, Municipio Simón Rodríguez, estado Anzoátegui, Venezuela.</w:t>
      </w:r>
      <w:r/>
    </w:p>
    <w:p w14:paraId="146485C8">
      <w:pPr>
        <w:pBdr/>
        <w:spacing w:line="360" w:lineRule="auto"/>
        <w:ind w:firstLine="720"/>
        <w:jc w:val="both"/>
        <w:rPr/>
      </w:pPr>
      <w:r/>
      <w:r/>
      <w:r/>
    </w:p>
    <w:p w14:paraId="1426DA27">
      <w:pPr>
        <w:pBdr/>
        <w:spacing w:line="360" w:lineRule="auto"/>
        <w:ind w:firstLine="720"/>
        <w:jc w:val="center"/>
        <w:rPr/>
      </w:pPr>
      <w:r>
        <w:rPr>
          <w:highlight w:val="none"/>
        </w:rPr>
      </w:r>
      <w:r>
        <mc:AlternateContent>
          <mc:Choice Requires="wpg">
            <w:drawing>
              <wp:inline xmlns:wp="http://schemas.openxmlformats.org/drawingml/2006/wordprocessingDrawing" distT="0" distB="0" distL="0" distR="0">
                <wp:extent cx="3276824" cy="2047074"/>
                <wp:effectExtent l="0" t="0" r="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00746" name=""/>
                        <pic:cNvPicPr>
                          <a:picLocks noChangeAspect="1"/>
                        </pic:cNvPicPr>
                        <pic:nvPr/>
                      </pic:nvPicPr>
                      <pic:blipFill rotWithShape="1">
                        <a:blip r:embed="rId10"/>
                        <a:stretch/>
                      </pic:blipFill>
                      <pic:spPr bwMode="auto">
                        <a:xfrm rot="0" flipH="0" flipV="0">
                          <a:off x="0" y="0"/>
                          <a:ext cx="3276824" cy="2047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58.02pt;height:161.19pt;mso-wrap-distance-left:0.00pt;mso-wrap-distance-top:0.00pt;mso-wrap-distance-right:0.00pt;mso-wrap-distance-bottom:0.00pt;rotation:0;z-index:1;" stroked="false">
                <v:imagedata r:id="rId10" o:title=""/>
                <o:lock v:ext="edit" rotation="t"/>
              </v:shape>
            </w:pict>
          </mc:Fallback>
        </mc:AlternateContent>
      </w:r>
      <w:r/>
      <w:r>
        <w:rPr>
          <w:highlight w:val="none"/>
        </w:rPr>
      </w:r>
      <w:r>
        <w:rPr>
          <w:highlight w:val="none"/>
        </w:rPr>
      </w:r>
      <w:r>
        <w:rPr>
          <w:highlight w:val="none"/>
        </w:rPr>
      </w:r>
      <w:r/>
      <w:r/>
      <w:r/>
    </w:p>
    <w:p w14:paraId="02CDB52D" w14:textId="77777777">
      <w:pPr>
        <w:pBdr/>
        <w:spacing w:line="360" w:lineRule="auto"/>
        <w:ind w:firstLine="720"/>
        <w:jc w:val="both"/>
        <w:rPr>
          <w:highlight w:val="none"/>
          <w14:ligatures w14:val="none"/>
        </w:rPr>
      </w:pPr>
      <w:r>
        <w:rPr>
          <w:lang w:val="undefined"/>
        </w:rPr>
        <w:t xml:space="preserve">Figura 1. Ubicación geográfica de Ingeniería de Telecomunicaciones, C.A. Fuente: Google Maps (2026).</w:t>
      </w:r>
      <w:r/>
      <w:r>
        <w:rPr>
          <w:highlight w:val="none"/>
        </w:rPr>
      </w:r>
      <w:r>
        <w:rPr>
          <w:highlight w:val="none"/>
        </w:rPr>
      </w:r>
      <w:r>
        <w:rPr>
          <w:highlight w:val="none"/>
        </w:rPr>
      </w:r>
      <w:r>
        <w:rPr>
          <w:highlight w:val="none"/>
        </w:rPr>
      </w:r>
    </w:p>
    <w:p w14:paraId="28AC2843" w14:textId="77777777">
      <w:pPr>
        <w:pBdr/>
        <w:spacing w:after="480" w:before="480" w:line="360" w:lineRule="auto"/>
        <w:ind/>
        <w:jc w:val="center"/>
        <w:rPr/>
      </w:pPr>
      <w:r>
        <w:rPr>
          <w:b/>
          <w:bCs/>
          <w:caps/>
        </w:rPr>
        <w:t xml:space="preserve">Población de los Trabajadores de la Empresa</w:t>
      </w:r>
      <w:r/>
    </w:p>
    <w:p w14:paraId="6F914C8F" w14:textId="77777777">
      <w:pPr>
        <w:pBdr/>
        <w:spacing w:line="360" w:lineRule="auto"/>
        <w:ind w:firstLine="720"/>
        <w:jc w:val="both"/>
        <w:rPr/>
      </w:pPr>
      <w:r>
        <w:t xml:space="preserve">La estructura del talento humano de Ingenier</w:t>
      </w:r>
      <w:r>
        <w:t xml:space="preserve">ía de Telecomunicaciones, C.A. está conformada por personal multidisciplinario distribuido en las distintas áreas operativas y administrativas. A continuación, se presenta en el Cuadro 1 la distribución cuantitativa del personal adscrito a la organización:</w:t>
      </w:r>
      <w:r/>
    </w:p>
    <w:p w14:paraId="3432FFF6" w14:textId="77777777">
      <w:pPr>
        <w:pBdr/>
        <w:spacing w:line="360" w:lineRule="auto"/>
        <w:ind/>
        <w:rPr/>
      </w:pPr>
      <w:r/>
      <w:r/>
    </w:p>
    <w:p w14:paraId="23925D81" w14:textId="77777777">
      <w:pPr>
        <w:pBdr/>
        <w:spacing w:before="480" w:line="360" w:lineRule="auto"/>
        <w:ind/>
        <w:jc w:val="center"/>
        <w:rPr/>
      </w:pPr>
      <w:r>
        <w:rPr>
          <w:b/>
          <w:bCs/>
        </w:rPr>
        <w:t xml:space="preserve">Cuadro 1. </w:t>
      </w:r>
      <w:r>
        <w:rPr>
          <w:i/>
          <w:iCs/>
        </w:rPr>
        <w:t xml:space="preserve">Distribución del personal de Ingeniería de Telecomunicaciones, C.A.</w:t>
      </w:r>
      <w:r/>
    </w:p>
    <w:tbl>
      <w:tblPr>
        <w:tblW w:w="8271"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135"/>
        <w:gridCol w:w="4136"/>
      </w:tblGrid>
      <w:tr>
        <w:trPr/>
        <w:tc>
          <w:tcPr>
            <w:shd w:val="clear" w:color="auto" w:fill="bdd7ee"/>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4119EF3C" w14:textId="77777777">
            <w:pPr>
              <w:pBdr/>
              <w:spacing/>
              <w:ind/>
              <w:jc w:val="center"/>
              <w:rPr/>
            </w:pPr>
            <w:r>
              <w:rPr>
                <w:b/>
                <w:bCs/>
              </w:rPr>
              <w:t xml:space="preserve">CARGO</w:t>
            </w:r>
            <w:r/>
          </w:p>
        </w:tc>
        <w:tc>
          <w:tcPr>
            <w:shd w:val="clear" w:color="auto" w:fill="bdd7ee"/>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1AFBB4AE" w14:textId="77777777">
            <w:pPr>
              <w:pBdr/>
              <w:spacing/>
              <w:ind/>
              <w:jc w:val="center"/>
              <w:rPr/>
            </w:pPr>
            <w:r>
              <w:rPr>
                <w:b/>
                <w:bCs/>
              </w:rPr>
              <w:t xml:space="preserve">CANTIDAD</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09E04B35" w14:textId="77777777">
            <w:pPr>
              <w:pBdr/>
              <w:spacing/>
              <w:ind/>
              <w:rPr/>
            </w:pPr>
            <w:r>
              <w:t xml:space="preserve">Presidencia</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7CB1E3F3" w14:textId="77777777">
            <w:pPr>
              <w:pBdr/>
              <w:spacing/>
              <w:ind/>
              <w:jc w:val="center"/>
              <w:rPr/>
            </w:pPr>
            <w:r>
              <w:t xml:space="preserve">1</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6CF9A771" w14:textId="77777777">
            <w:pPr>
              <w:pBdr/>
              <w:spacing/>
              <w:ind/>
              <w:rPr/>
            </w:pPr>
            <w:r>
              <w:t xml:space="preserve">Gerencia General y Operaciones</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409996BB" w14:textId="77777777">
            <w:pPr>
              <w:pBdr/>
              <w:spacing/>
              <w:ind/>
              <w:jc w:val="center"/>
              <w:rPr/>
            </w:pPr>
            <w:r>
              <w:t xml:space="preserve">1</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11E2360D" w14:textId="77777777">
            <w:pPr>
              <w:pBdr/>
              <w:spacing/>
              <w:ind/>
              <w:rPr/>
            </w:pPr>
            <w:r>
              <w:t xml:space="preserve">Supervisión Comercial Área de Internet</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2E404D57" w14:textId="77777777">
            <w:pPr>
              <w:pBdr/>
              <w:spacing/>
              <w:ind/>
              <w:jc w:val="center"/>
              <w:rPr/>
            </w:pPr>
            <w:r>
              <w:t xml:space="preserve">1</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1D9CD8B3" w14:textId="77777777">
            <w:pPr>
              <w:pBdr/>
              <w:spacing/>
              <w:ind/>
              <w:rPr/>
            </w:pPr>
            <w:r>
              <w:t xml:space="preserve">Analista de Atención al Cliente</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25320446" w14:textId="77777777">
            <w:pPr>
              <w:pBdr/>
              <w:spacing/>
              <w:ind/>
              <w:jc w:val="center"/>
              <w:rPr/>
            </w:pPr>
            <w:r>
              <w:t xml:space="preserve">1</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06FB6E3B" w14:textId="77777777">
            <w:pPr>
              <w:pBdr/>
              <w:spacing/>
              <w:ind/>
              <w:rPr/>
            </w:pPr>
            <w:r>
              <w:t xml:space="preserve">Supervisión de Administración, Contabilidad y Tributos</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76C07EBC" w14:textId="77777777">
            <w:pPr>
              <w:pBdr/>
              <w:spacing/>
              <w:ind/>
              <w:jc w:val="center"/>
              <w:rPr/>
            </w:pPr>
            <w:r>
              <w:t xml:space="preserve">1</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6F02CA0F" w14:textId="77777777">
            <w:pPr>
              <w:pBdr/>
              <w:spacing/>
              <w:ind/>
              <w:rPr/>
            </w:pPr>
            <w:r>
              <w:t xml:space="preserve">Analista de Compras y Facturación</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590E9224" w14:textId="77777777">
            <w:pPr>
              <w:pBdr/>
              <w:spacing/>
              <w:ind/>
              <w:jc w:val="center"/>
              <w:rPr/>
            </w:pPr>
            <w:r>
              <w:t xml:space="preserve">1</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435324A1" w14:textId="77777777">
            <w:pPr>
              <w:pBdr/>
              <w:spacing/>
              <w:ind/>
              <w:rPr/>
            </w:pPr>
            <w:r>
              <w:t xml:space="preserve">Supervisión del NOC</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67B101E3" w14:textId="77777777">
            <w:pPr>
              <w:pBdr/>
              <w:spacing/>
              <w:ind/>
              <w:jc w:val="center"/>
              <w:rPr/>
            </w:pPr>
            <w:r>
              <w:t xml:space="preserve">1</w:t>
            </w:r>
            <w:r/>
          </w:p>
        </w:tc>
      </w:tr>
      <w:tr>
        <w:trPr/>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4A7026FA" w14:textId="77777777">
            <w:pPr>
              <w:pBdr/>
              <w:spacing/>
              <w:ind/>
              <w:rPr/>
            </w:pPr>
            <w:r>
              <w:t xml:space="preserve">Mantenimiento Radiocomunicación</w:t>
            </w:r>
            <w:r/>
          </w:p>
        </w:tc>
        <w:tc>
          <w:tcPr>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4B942195" w14:textId="77777777">
            <w:pPr>
              <w:pBdr/>
              <w:spacing/>
              <w:ind/>
              <w:jc w:val="center"/>
              <w:rPr/>
            </w:pPr>
            <w:r>
              <w:t xml:space="preserve">1</w:t>
            </w:r>
            <w:r/>
          </w:p>
        </w:tc>
      </w:tr>
      <w:tr>
        <w:trPr/>
        <w:tc>
          <w:tcPr>
            <w:shd w:val="clear" w:color="auto" w:fill="d9e2f3"/>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0194864E" w14:textId="77777777">
            <w:pPr>
              <w:pBdr/>
              <w:spacing/>
              <w:ind/>
              <w:jc w:val="center"/>
              <w:rPr/>
            </w:pPr>
            <w:r>
              <w:rPr>
                <w:b/>
                <w:bCs/>
              </w:rPr>
              <w:t xml:space="preserve">TOTAL</w:t>
            </w:r>
            <w:r/>
          </w:p>
        </w:tc>
        <w:tc>
          <w:tcPr>
            <w:shd w:val="clear" w:color="auto" w:fill="d9e2f3"/>
            <w:tcBorders>
              <w:top w:val="single" w:color="000000" w:sz="4" w:space="0"/>
              <w:left w:val="single" w:color="000000" w:sz="4" w:space="0"/>
              <w:bottom w:val="single" w:color="000000" w:sz="4" w:space="0"/>
              <w:right w:val="single" w:color="000000" w:sz="4" w:space="0"/>
            </w:tcBorders>
            <w:tcMar>
              <w:left w:w="120" w:type="dxa"/>
              <w:top w:w="80" w:type="dxa"/>
              <w:right w:w="120" w:type="dxa"/>
              <w:bottom w:w="80" w:type="dxa"/>
            </w:tcMar>
            <w:tcW w:w="4135" w:type="dxa"/>
          </w:tcPr>
          <w:p w14:paraId="39F114CF" w14:textId="77777777">
            <w:pPr>
              <w:pBdr/>
              <w:spacing/>
              <w:ind/>
              <w:jc w:val="center"/>
              <w:rPr/>
            </w:pPr>
            <w:r>
              <w:rPr>
                <w:b/>
                <w:bCs/>
              </w:rPr>
              <w:t xml:space="preserve">8</w:t>
            </w:r>
            <w:r/>
          </w:p>
        </w:tc>
      </w:tr>
    </w:tbl>
    <w:p w14:paraId="6372B046" w14:textId="77777777">
      <w:pPr>
        <w:pBdr/>
        <w:spacing w:after="480" w:line="360" w:lineRule="auto"/>
        <w:ind/>
        <w:rPr/>
      </w:pPr>
      <w:r>
        <w:rPr>
          <w:i/>
          <w:iCs/>
          <w:sz w:val="20"/>
          <w:szCs w:val="20"/>
        </w:rPr>
        <w:t xml:space="preserve">Fuente: Ingeniería de Telecomunicaciones, C.A. (2026)</w:t>
      </w:r>
      <w:r/>
    </w:p>
    <w:p w14:paraId="41E16923" w14:textId="77777777">
      <w:pPr>
        <w:pBdr/>
        <w:spacing w:after="480" w:before="480" w:line="360" w:lineRule="auto"/>
        <w:ind/>
        <w:jc w:val="center"/>
        <w:rPr/>
      </w:pPr>
      <w:r>
        <w:rPr>
          <w:b/>
          <w:bCs/>
          <w:caps/>
        </w:rPr>
        <w:t xml:space="preserve">Estructura Organizacional de la Empresa (Organigrama)</w:t>
      </w:r>
      <w:r/>
    </w:p>
    <w:p w14:paraId="7F8B3948" w14:textId="77777777">
      <w:pPr>
        <w:pBdr/>
        <w:spacing w:line="360" w:lineRule="auto"/>
        <w:ind w:firstLine="720"/>
        <w:jc w:val="both"/>
        <w:rPr/>
      </w:pPr>
      <w:r>
        <w:t xml:space="preserve">La estructura organizativa de Ingeniería de Telecomunicaciones, C.A. es de tipo vertical, diseñada para garantizar una comunicación fluida entre los niveles directivos y operativos. A la cabeza se encuentra la Presidencia, seguida de la Gere</w:t>
      </w:r>
      <w:r>
        <w:t xml:space="preserve">ncia General y Operaciones, de la cual se desprenden los departamentos de Supervisión de Administración, Contabilidad y Tributos, Supervisión Comercial, Área de Internet, Supervisión del NOC (Network Operations Center) y Mantenimiento de Radiocomunicación.</w:t>
      </w:r>
      <w:r/>
    </w:p>
    <w:p w14:paraId="1B2169A2" w14:textId="77777777">
      <w:pPr>
        <w:pBdr/>
        <w:spacing w:line="360" w:lineRule="auto"/>
        <w:ind/>
        <w:rPr/>
      </w:pPr>
      <w:r/>
      <w:r/>
    </w:p>
    <w:p w14:paraId="6BDE23AC" w14:textId="77777777">
      <w:pPr>
        <w:pBdr/>
        <w:spacing w:line="360" w:lineRule="auto"/>
        <w:ind w:firstLine="720"/>
        <w:jc w:val="both"/>
        <w:rPr/>
      </w:pPr>
      <w:r>
        <w:t xml:space="preserve">La pasantía profesional se desarrolló en el Departamento de Administración, que dado el reducido tamaño del equipo tras un proceso de reestructuración de </w:t>
      </w:r>
      <w:r>
        <w:t xml:space="preserve">personal, opera con una estructura simplificada. Las funciones administrativas se concentran en dos (2) cargos activos: Supervisión de Administración, Contabilidad y Tributos, y Analista de Compras y Facturación, además del Analista de Atención al Cliente.</w:t>
      </w:r>
      <w:r/>
    </w:p>
    <w:p w14:paraId="2B40A2C9">
      <w:pPr>
        <w:pBdr/>
        <w:spacing w:line="360" w:lineRule="auto"/>
        <w:ind w:firstLine="720"/>
        <w:jc w:val="both"/>
        <w:rPr>
          <w:highlight w:val="none"/>
          <w14:ligatures w14:val="none"/>
        </w:rPr>
      </w:pPr>
      <w:r>
        <w:rPr>
          <w:highlight w:val="none"/>
        </w:rPr>
      </w:r>
      <w:r>
        <w:rPr>
          <w:highlight w:val="none"/>
        </w:rPr>
      </w:r>
      <w:r>
        <w:rPr>
          <w:highlight w:val="none"/>
        </w:rPr>
      </w:r>
    </w:p>
    <w:p w14:paraId="0CFD8388">
      <w:pPr>
        <w:pBdr/>
        <w:spacing w:line="360" w:lineRule="auto"/>
        <w:ind w:firstLine="720"/>
        <w:jc w:val="center"/>
        <w:rPr>
          <w14:ligatures w14:val="none"/>
        </w:rPr>
      </w:pPr>
      <w:r>
        <w:rPr>
          <w:highlight w:val="none"/>
        </w:rPr>
      </w:r>
      <w:r>
        <w:rPr>
          <w:highlight w:val="none"/>
        </w:rPr>
      </w:r>
      <w:r>
        <w:rPr>
          <w:highlight w:val="none"/>
        </w:rPr>
      </w:r>
      <w:r>
        <w:rPr>
          <w:highlight w:val="none"/>
        </w:rPr>
        <mc:AlternateContent>
          <mc:Choice Requires="wpg">
            <w:drawing>
              <wp:inline xmlns:wp="http://schemas.openxmlformats.org/drawingml/2006/wordprocessingDrawing" distT="0" distB="0" distL="0" distR="0">
                <wp:extent cx="5333070" cy="181686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00195" name=""/>
                        <pic:cNvPicPr>
                          <a:picLocks noChangeAspect="1"/>
                        </pic:cNvPicPr>
                        <pic:nvPr/>
                      </pic:nvPicPr>
                      <pic:blipFill rotWithShape="1">
                        <a:blip r:embed="rId11"/>
                        <a:stretch/>
                      </pic:blipFill>
                      <pic:spPr bwMode="auto">
                        <a:xfrm flipH="0" flipV="0">
                          <a:off x="0" y="0"/>
                          <a:ext cx="5333069" cy="18168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9.93pt;height:143.06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Pr>
          <w:highlight w:val="none"/>
        </w:rPr>
      </w:r>
      <w:r>
        <w:rPr>
          <w:highlight w:val="none"/>
        </w:rPr>
      </w:r>
      <w:r>
        <w:rPr>
          <w:highlight w:val="none"/>
        </w:rPr>
      </w:r>
    </w:p>
    <w:p w14:paraId="67AEA068">
      <w:pPr>
        <w:pBdr/>
        <w:spacing w:line="360" w:lineRule="auto"/>
        <w:ind w:firstLine="720"/>
        <w:jc w:val="both"/>
        <w:rPr>
          <w:highlight w:val="none"/>
          <w14:ligatures w14:val="none"/>
        </w:rPr>
      </w:pPr>
      <w:r>
        <w:t xml:space="preserve">Figura 2. Organigrama general de Ingeniería de Telecomunicaciones, C.A. Fuente: Empresa (2026).</w:t>
      </w:r>
      <w:r>
        <w:rPr>
          <w:highlight w:val="none"/>
          <w14:ligatures w14:val="none"/>
        </w:rPr>
      </w:r>
      <w:r>
        <w:rPr>
          <w:highlight w:val="none"/>
          <w14:ligatures w14:val="none"/>
        </w:rPr>
      </w:r>
    </w:p>
    <w:p w14:paraId="3303F94A">
      <w:pPr>
        <w:pBdr/>
        <w:spacing w:line="360" w:lineRule="auto"/>
        <w:ind w:firstLine="0"/>
        <w:jc w:val="both"/>
        <w:rPr>
          <w:highlight w:val="none"/>
          <w14:ligatures w14:val="none"/>
        </w:rPr>
      </w:pPr>
      <w:r>
        <w:rPr>
          <w:highlight w:val="none"/>
        </w:rPr>
      </w:r>
      <w:r>
        <w:rPr>
          <w:highlight w:val="none"/>
        </w:rPr>
      </w:r>
      <w:r>
        <w:rPr>
          <w:highlight w:val="none"/>
        </w:rPr>
      </w:r>
    </w:p>
    <w:p w14:paraId="3F5740AF">
      <w:pPr>
        <w:pBdr/>
        <w:spacing w:line="360" w:lineRule="auto"/>
        <w:ind w:firstLine="720"/>
        <w:jc w:val="center"/>
        <w:rPr>
          <w14:ligatures w14:val="none"/>
        </w:rPr>
      </w:pPr>
      <w:r>
        <w:rPr>
          <w:highlight w:val="none"/>
        </w:rPr>
      </w:r>
      <w:r>
        <w:rPr>
          <w:highlight w:val="none"/>
        </w:rPr>
      </w:r>
      <w:r>
        <w:rPr>
          <w:highlight w:val="none"/>
        </w:rPr>
      </w:r>
      <w:r>
        <w:rPr>
          <w:highlight w:val="none"/>
        </w:rPr>
        <mc:AlternateContent>
          <mc:Choice Requires="wpg">
            <w:drawing>
              <wp:inline xmlns:wp="http://schemas.openxmlformats.org/drawingml/2006/wordprocessingDrawing" distT="0" distB="0" distL="0" distR="0">
                <wp:extent cx="5216642" cy="323415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39461" name=""/>
                        <pic:cNvPicPr>
                          <a:picLocks noChangeAspect="1"/>
                        </pic:cNvPicPr>
                        <pic:nvPr/>
                      </pic:nvPicPr>
                      <pic:blipFill rotWithShape="1">
                        <a:blip r:embed="rId12"/>
                        <a:stretch/>
                      </pic:blipFill>
                      <pic:spPr bwMode="auto">
                        <a:xfrm flipH="0" flipV="0">
                          <a:off x="0" y="0"/>
                          <a:ext cx="5216641" cy="3234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10.76pt;height:254.66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r>
        <w:rPr>
          <w:highlight w:val="none"/>
        </w:rPr>
      </w:r>
      <w:r>
        <w:rPr>
          <w:highlight w:val="none"/>
        </w:rPr>
      </w:r>
    </w:p>
    <w:p w14:paraId="6E501B68">
      <w:pPr>
        <w:pBdr/>
        <w:spacing w:line="360" w:lineRule="auto"/>
        <w:ind w:firstLine="720"/>
        <w:jc w:val="both"/>
        <w:rPr>
          <w:highlight w:val="none"/>
          <w14:ligatures w14:val="none"/>
        </w:rPr>
      </w:pPr>
      <w:r>
        <w:t xml:space="preserve">Figura 3. Organigrama del Departamento de Administración. Fuente: Empresa (2026).</w:t>
      </w:r>
      <w:r>
        <w:rPr>
          <w:highlight w:val="none"/>
          <w14:ligatures w14:val="none"/>
        </w:rPr>
      </w:r>
      <w:r>
        <w:rPr>
          <w:highlight w:val="none"/>
          <w14:ligatures w14:val="none"/>
        </w:rPr>
      </w:r>
    </w:p>
    <w:p w14:paraId="5F43CE6B" w14:textId="77777777">
      <w:pPr>
        <w:pBdr/>
        <w:spacing/>
        <w:ind/>
        <w:rPr/>
      </w:pPr>
      <w:r>
        <w:br w:type="page" w:clear="all"/>
      </w:r>
      <w:r/>
    </w:p>
    <w:p w14:paraId="4752C047" w14:textId="77777777">
      <w:pPr>
        <w:pBdr/>
        <w:spacing w:after="480" w:line="360" w:lineRule="auto"/>
        <w:ind/>
        <w:jc w:val="center"/>
        <w:rPr/>
      </w:pPr>
      <w:r>
        <w:rPr>
          <w:b/>
          <w:bCs/>
          <w:caps/>
        </w:rPr>
        <w:t xml:space="preserve">CAPÍTULO II</w:t>
      </w:r>
      <w:r/>
    </w:p>
    <w:p w14:paraId="4CA742BA" w14:textId="77777777">
      <w:pPr>
        <w:pBdr/>
        <w:spacing w:after="480" w:line="360" w:lineRule="auto"/>
        <w:ind/>
        <w:jc w:val="center"/>
        <w:rPr/>
      </w:pPr>
      <w:r>
        <w:rPr>
          <w:b/>
          <w:bCs/>
          <w:caps/>
        </w:rPr>
        <w:t xml:space="preserve">DIAGNÓSTICO SITUACIONAL</w:t>
      </w:r>
      <w:r/>
    </w:p>
    <w:p w14:paraId="47B7B8BB" w14:textId="77777777">
      <w:pPr>
        <w:pBdr/>
        <w:spacing w:after="480" w:before="480" w:line="360" w:lineRule="auto"/>
        <w:ind/>
        <w:jc w:val="center"/>
        <w:rPr/>
      </w:pPr>
      <w:r>
        <w:rPr>
          <w:b/>
          <w:bCs/>
          <w:caps/>
        </w:rPr>
        <w:t xml:space="preserve">Identificación de la Situación Problemática</w:t>
      </w:r>
      <w:r/>
    </w:p>
    <w:p w14:paraId="6E36ABA2" w14:textId="77777777">
      <w:pPr>
        <w:pBdr/>
        <w:spacing w:line="360" w:lineRule="auto"/>
        <w:ind w:firstLine="720"/>
        <w:jc w:val="both"/>
        <w:rPr/>
      </w:pPr>
      <w:r>
        <w:t xml:space="preserve">En el contex</w:t>
      </w:r>
      <w:r>
        <w:t xml:space="preserve">to global actual, la gestión eficiente de los procesos administrativos constituye un factor determinante para la competitividad y sostenibilidad de las organizaciones del sector tecnológico. Las empresas proveedoras de servicios de telecomunicaciones enfre</w:t>
      </w:r>
      <w:r>
        <w:t xml:space="preserve">ntan, de manera creciente, la necesidad de articular sus procedimientos internos con las exigencias de un mercado que demanda respuestas ágiles, trazabilidad en la atención al cliente y control riguroso sobre el ciclo de vida de cada solicitud de servicio.</w:t>
      </w:r>
      <w:r/>
    </w:p>
    <w:p w14:paraId="42634D8D" w14:textId="77777777">
      <w:pPr>
        <w:pBdr/>
        <w:spacing w:line="360" w:lineRule="auto"/>
        <w:ind/>
        <w:rPr/>
      </w:pPr>
      <w:r/>
      <w:r/>
    </w:p>
    <w:p w14:paraId="76A3030B" w14:textId="77777777">
      <w:pPr>
        <w:pBdr/>
        <w:spacing w:line="360" w:lineRule="auto"/>
        <w:ind w:firstLine="720"/>
        <w:jc w:val="both"/>
        <w:rPr/>
      </w:pPr>
      <w:r>
        <w:t xml:space="preserve">A nivel nacional, el sector de telecomunicacio</w:t>
      </w:r>
      <w:r>
        <w:t xml:space="preserve">nes en Venezuela ha experimentado una expansión sostenida, impulsada por la demanda de conectividad tanto en el segmento PyME como en el sector industrial y petrolero. Sin embargo, esta expansión ha puesto en evidencia debilidades estructurales en los sist</w:t>
      </w:r>
      <w:r>
        <w:t xml:space="preserve">emas de control administrativo de diversas organizaciones del ramo, particularmente en la gestión de solicitudes de servicio, donde la ausencia de procesos estandarizados genera retrasos, duplicidad de funciones y dificultades en la trazabilidad operativa.</w:t>
      </w:r>
      <w:r/>
    </w:p>
    <w:p w14:paraId="66B8C19E" w14:textId="77777777">
      <w:pPr>
        <w:pBdr/>
        <w:spacing w:line="360" w:lineRule="auto"/>
        <w:ind/>
        <w:rPr/>
      </w:pPr>
      <w:r/>
      <w:r/>
    </w:p>
    <w:p w14:paraId="58E8B7B8" w14:textId="77777777">
      <w:pPr>
        <w:pBdr/>
        <w:spacing w:line="360" w:lineRule="auto"/>
        <w:ind w:firstLine="720"/>
        <w:jc w:val="both"/>
        <w:rPr/>
      </w:pPr>
      <w:r>
        <w:t xml:space="preserve">En el caso específico de Ingeniería de Telecomunicaciones, C.A. (IDETEL), empresa con más de cuatro décadas de trayect</w:t>
      </w:r>
      <w:r>
        <w:t xml:space="preserve">oria en la región oriental del país, se identificó durante el período de pasantías que el Departamento de Administración presenta deficiencias en el control administrativo aplicado a la gestión de solicitudes de servicios. Concretamente, se observó que los</w:t>
      </w:r>
      <w:r>
        <w:t xml:space="preserve"> procesos de afiliación de nuevos suscriptores e incidencias reportadas no cuentan con un sistema de seguimiento unificado que permita verificar en tiempo real el estado de cada solicitud, lo que genera inconsistencias entre los departamentos involucrados.</w:t>
      </w:r>
      <w:r/>
    </w:p>
    <w:p w14:paraId="72DCE834" w14:textId="77777777">
      <w:pPr>
        <w:pBdr/>
        <w:spacing w:line="360" w:lineRule="auto"/>
        <w:ind/>
        <w:rPr/>
      </w:pPr>
      <w:r/>
      <w:r/>
    </w:p>
    <w:p w14:paraId="1FC51558" w14:textId="77777777">
      <w:pPr>
        <w:pBdr/>
        <w:spacing w:line="360" w:lineRule="auto"/>
        <w:ind w:firstLine="720"/>
        <w:jc w:val="both"/>
        <w:rPr/>
      </w:pPr>
      <w:r>
        <w:t xml:space="preserve">Las principales manifestaciones de la problemática identificada son las siguientes: (a) ausencia de registros estandarizados para el control de solicitudes de instalación y atención de incidencias, (b) comunicación fragmentada entre el área comercial, el N</w:t>
      </w:r>
      <w:r>
        <w:t xml:space="preserve">OC y las cuadrillas técnicas de campo, (c) retrasos en la actualización del sistema de tickets que dificultan el cierre oportuno de los casos, y (d) carencia de indicadores de gestión que permitan evaluar el desempeño del proceso de atención al suscriptor.</w:t>
      </w:r>
      <w:r/>
    </w:p>
    <w:p w14:paraId="66D08D95" w14:textId="77777777">
      <w:pPr>
        <w:pBdr/>
        <w:spacing w:line="360" w:lineRule="auto"/>
        <w:ind/>
        <w:rPr/>
      </w:pPr>
      <w:r/>
      <w:r/>
    </w:p>
    <w:p w14:paraId="69D48B4E" w14:textId="77777777">
      <w:pPr>
        <w:pBdr/>
        <w:spacing w:line="360" w:lineRule="auto"/>
        <w:ind w:firstLine="720"/>
        <w:jc w:val="both"/>
        <w:rPr/>
      </w:pPr>
      <w:r>
        <w:t xml:space="preserve">Las causas de esta situación se atribuyen principalmente a la falta de un protocolo administrativo formal que regule el flujo de las solicitudes desde su recepción hasta su cierre definitivo, así como a la dependencia de canales informales </w:t>
      </w:r>
      <w:r>
        <w:t xml:space="preserve">de comunicación entre las áreas involucradas. Como consecuencia, se generan reprocesos, insatisfacción en los clientes y sobrecarga operativa en los supervisores, comprometiendo la calidad del servicio prestado y la imagen institucional de la organización.</w:t>
      </w:r>
      <w:r/>
    </w:p>
    <w:p w14:paraId="19F12B0C" w14:textId="77777777">
      <w:pPr>
        <w:pBdr/>
        <w:spacing w:line="360" w:lineRule="auto"/>
        <w:ind/>
        <w:rPr/>
      </w:pPr>
      <w:r/>
      <w:r/>
    </w:p>
    <w:p w14:paraId="540D1A90" w14:textId="77777777">
      <w:pPr>
        <w:pBdr/>
        <w:spacing w:line="360" w:lineRule="auto"/>
        <w:ind w:firstLine="720"/>
        <w:jc w:val="both"/>
        <w:rPr/>
      </w:pPr>
      <w:r>
        <w:t xml:space="preserve">Ante esta realidad, la presente pasantía propone evaluar el control administrativo aplica</w:t>
      </w:r>
      <w:r>
        <w:t xml:space="preserve">do a la gestión de solicitudes de servicios de telecomunicaciones en Ingeniería de Telecomunicaciones, C.A., con el fin de identificar las brechas existentes y formular recomendaciones que optimicen los procesos internos del Departamento de Administración.</w:t>
      </w:r>
      <w:r/>
    </w:p>
    <w:p w14:paraId="15C0F0CA" w14:textId="77777777">
      <w:pPr>
        <w:pBdr/>
        <w:spacing w:after="480" w:before="480" w:line="360" w:lineRule="auto"/>
        <w:ind/>
        <w:jc w:val="center"/>
        <w:rPr/>
      </w:pPr>
      <w:r>
        <w:rPr>
          <w:b/>
          <w:bCs/>
          <w:caps/>
        </w:rPr>
        <w:t xml:space="preserve">Objetivo General</w:t>
      </w:r>
      <w:r/>
    </w:p>
    <w:p w14:paraId="25E22D22" w14:textId="77777777">
      <w:pPr>
        <w:pBdr/>
        <w:spacing w:line="360" w:lineRule="auto"/>
        <w:ind w:firstLine="720"/>
        <w:jc w:val="both"/>
        <w:rPr/>
      </w:pPr>
      <w:r>
        <w:t xml:space="preserve">Evaluar el control administrativo aplicado a la gestión de soli</w:t>
      </w:r>
      <w:r>
        <w:t xml:space="preserve">citudes de servicios de telecomunicaciones en la empresa Ingeniería de Telecomunicaciones, C.A., con el propósito de identificar las debilidades del proceso y proponer mejoras que optimicen la atención al suscriptor desde el Departamento de Administración.</w:t>
      </w:r>
      <w:r/>
    </w:p>
    <w:p w14:paraId="70EA2A38" w14:textId="77777777">
      <w:pPr>
        <w:pBdr/>
        <w:spacing w:after="480" w:before="480" w:line="360" w:lineRule="auto"/>
        <w:ind/>
        <w:jc w:val="center"/>
        <w:rPr/>
      </w:pPr>
      <w:r>
        <w:rPr>
          <w:b/>
          <w:bCs/>
          <w:caps/>
        </w:rPr>
        <w:t xml:space="preserve">Objetivos Específicos</w:t>
      </w:r>
      <w:r/>
    </w:p>
    <w:p w14:paraId="6262A160" w14:textId="77777777">
      <w:pPr>
        <w:pBdr/>
        <w:spacing w:line="360" w:lineRule="auto"/>
        <w:ind w:firstLine="720"/>
        <w:jc w:val="both"/>
        <w:rPr/>
      </w:pPr>
      <w:r>
        <w:t xml:space="preserve">Para el logro del objetivo general se plantean los siguientes objetivos específicos:</w:t>
      </w:r>
      <w:r/>
    </w:p>
    <w:p w14:paraId="7CD5C39A" w14:textId="77777777">
      <w:pPr>
        <w:pBdr/>
        <w:spacing w:line="360" w:lineRule="auto"/>
        <w:ind/>
        <w:rPr/>
      </w:pPr>
      <w:r/>
      <w:r/>
    </w:p>
    <w:p w14:paraId="2FBDE215" w14:textId="77777777">
      <w:pPr>
        <w:pBdr/>
        <w:spacing w:line="360" w:lineRule="auto"/>
        <w:ind w:firstLine="720"/>
        <w:jc w:val="both"/>
        <w:rPr/>
      </w:pPr>
      <w:r>
        <w:rPr>
          <w:b/>
          <w:bCs/>
        </w:rPr>
        <w:t xml:space="preserve">1. </w:t>
      </w:r>
      <w:r>
        <w:t xml:space="preserve">Describir los procesos administrativos actuales aplicados a la gestión de solicitudes de afiliación de nuevos suscriptores e incidencias en Ingeniería de Telecomunicaciones, C.A.</w:t>
      </w:r>
      <w:r/>
    </w:p>
    <w:p w14:paraId="22971247" w14:textId="77777777">
      <w:pPr>
        <w:pBdr/>
        <w:spacing w:line="360" w:lineRule="auto"/>
        <w:ind/>
        <w:rPr/>
      </w:pPr>
      <w:r/>
      <w:r/>
    </w:p>
    <w:p w14:paraId="18A4EEAF" w14:textId="77777777">
      <w:pPr>
        <w:pBdr/>
        <w:spacing w:line="360" w:lineRule="auto"/>
        <w:ind w:firstLine="720"/>
        <w:jc w:val="both"/>
        <w:rPr/>
      </w:pPr>
      <w:r>
        <w:rPr>
          <w:b/>
          <w:bCs/>
        </w:rPr>
        <w:t xml:space="preserve">2. </w:t>
      </w:r>
      <w:r>
        <w:t xml:space="preserve">Identificar las deficiencias presentes en el sistema de control administrativo utilizado para el seguimiento de solicitudes de servicios de telecomunicaciones.</w:t>
      </w:r>
      <w:r/>
    </w:p>
    <w:p w14:paraId="0A656E98" w14:textId="77777777">
      <w:pPr>
        <w:pBdr/>
        <w:spacing w:line="360" w:lineRule="auto"/>
        <w:ind/>
        <w:rPr/>
      </w:pPr>
      <w:r/>
      <w:r/>
    </w:p>
    <w:p w14:paraId="7050677A" w14:textId="77777777">
      <w:pPr>
        <w:pBdr/>
        <w:spacing w:line="360" w:lineRule="auto"/>
        <w:ind w:firstLine="720"/>
        <w:jc w:val="both"/>
        <w:rPr/>
      </w:pPr>
      <w:r>
        <w:rPr>
          <w:b/>
          <w:bCs/>
        </w:rPr>
        <w:t xml:space="preserve">3. </w:t>
      </w:r>
      <w:r>
        <w:t xml:space="preserve">Analizar el impacto de las debilidades detectadas en el control administrativo sobre la calidad del servicio prestado a los suscriptores de la empresa.</w:t>
      </w:r>
      <w:r/>
    </w:p>
    <w:p w14:paraId="579E9E3E" w14:textId="77777777">
      <w:pPr>
        <w:pBdr/>
        <w:spacing w:line="360" w:lineRule="auto"/>
        <w:ind/>
        <w:rPr/>
      </w:pPr>
      <w:r/>
      <w:r/>
    </w:p>
    <w:p w14:paraId="7B299227" w14:textId="77777777">
      <w:pPr>
        <w:pBdr/>
        <w:spacing w:line="360" w:lineRule="auto"/>
        <w:ind w:firstLine="720"/>
        <w:jc w:val="both"/>
        <w:rPr/>
      </w:pPr>
      <w:r>
        <w:rPr>
          <w:b/>
          <w:bCs/>
        </w:rPr>
        <w:t xml:space="preserve">4. </w:t>
      </w:r>
      <w:r>
        <w:t xml:space="preserve">Proponer mejoras al proceso de control administrativo de solicitudes de servicios que contribuyan a la optimización operativa y a la satisfacción del cliente en Ingeniería de Telecomunicaciones, C.A.</w:t>
      </w:r>
      <w:r/>
    </w:p>
    <w:p w14:paraId="04D8D603" w14:textId="77777777">
      <w:pPr>
        <w:pBdr/>
        <w:spacing w:after="480" w:before="480" w:line="360" w:lineRule="auto"/>
        <w:ind/>
        <w:jc w:val="center"/>
        <w:rPr/>
      </w:pPr>
      <w:r>
        <w:rPr>
          <w:b/>
          <w:bCs/>
          <w:caps/>
        </w:rPr>
        <w:t xml:space="preserve">Cronograma de Actividades</w:t>
      </w:r>
      <w:r/>
    </w:p>
    <w:p w14:paraId="0D96DDAD" w14:textId="77777777">
      <w:pPr>
        <w:pBdr/>
        <w:spacing w:line="360" w:lineRule="auto"/>
        <w:ind w:firstLine="720"/>
        <w:jc w:val="both"/>
        <w:rPr/>
      </w:pPr>
      <w:r>
        <w:t xml:space="preserve">A continuación, se presenta el cronograma de actividades correspon</w:t>
      </w:r>
      <w:r>
        <w:t xml:space="preserve">diente al período de pasantías, estructurado en un Diagrama de Gantt que refleja la planificación de las tareas a ejecutar durante las diez (10) semanas establecidas por la normativa del Instituto Universitario de Tecnología "Elías Calixto Pompa" (IUTECP).</w:t>
      </w:r>
      <w:r/>
    </w:p>
    <w:p w14:paraId="6FC2EC3E" w14:textId="77777777">
      <w:pPr>
        <w:pBdr/>
        <w:spacing w:line="360" w:lineRule="auto"/>
        <w:ind/>
        <w:rPr/>
      </w:pPr>
      <w:r/>
      <w:r/>
    </w:p>
    <w:p w14:paraId="23EE01C8" w14:textId="77777777">
      <w:pPr>
        <w:pBdr/>
        <w:spacing w:before="480" w:line="360" w:lineRule="auto"/>
        <w:ind/>
        <w:jc w:val="center"/>
        <w:rPr/>
      </w:pPr>
      <w:r>
        <w:rPr>
          <w:b/>
          <w:bCs/>
        </w:rPr>
        <w:t xml:space="preserve">Cuadro 2. </w:t>
      </w:r>
      <w:r>
        <w:rPr>
          <w:i/>
          <w:iCs/>
        </w:rPr>
        <w:t xml:space="preserve">Cronograma de Actividades – Período de Pasantías</w:t>
      </w:r>
      <w:r/>
    </w:p>
    <w:tbl>
      <w:tblPr>
        <w:tblW w:w="8271"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1"/>
        <w:gridCol w:w="537"/>
        <w:gridCol w:w="537"/>
        <w:gridCol w:w="537"/>
        <w:gridCol w:w="537"/>
        <w:gridCol w:w="537"/>
        <w:gridCol w:w="537"/>
        <w:gridCol w:w="537"/>
        <w:gridCol w:w="537"/>
        <w:gridCol w:w="537"/>
        <w:gridCol w:w="537"/>
      </w:tblGrid>
      <w:tr>
        <w:trPr/>
        <w:tc>
          <w:tcPr>
            <w:shd w:val="clear" w:color="auto" w:fill="bdd7ee"/>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900" w:type="dxa"/>
          </w:tcPr>
          <w:p w14:paraId="7CC727D9" w14:textId="77777777">
            <w:pPr>
              <w:pBdr/>
              <w:spacing/>
              <w:ind/>
              <w:jc w:val="center"/>
              <w:rPr/>
            </w:pPr>
            <w:r>
              <w:rPr>
                <w:b/>
                <w:bCs/>
                <w:sz w:val="20"/>
                <w:szCs w:val="20"/>
              </w:rPr>
              <w:t xml:space="preserve">ACTIVIDAD</w:t>
            </w:r>
            <w:r/>
          </w:p>
        </w:tc>
        <w:tc>
          <w:tcPr>
            <w:shd w:val="clear" w:color="auto" w:fill="bdd7ee"/>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F50B9FF" w14:textId="77777777">
            <w:pPr>
              <w:pBdr/>
              <w:spacing/>
              <w:ind/>
              <w:jc w:val="center"/>
              <w:rPr/>
            </w:pPr>
            <w:r>
              <w:rPr>
                <w:b/>
                <w:bCs/>
                <w:sz w:val="20"/>
                <w:szCs w:val="20"/>
              </w:rPr>
              <w:t xml:space="preserve">S1</w:t>
            </w:r>
            <w:r/>
          </w:p>
        </w:tc>
        <w:tc>
          <w:tcPr>
            <w:shd w:val="clear" w:color="auto" w:fill="bdd7ee"/>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6FC69BD" w14:textId="77777777">
            <w:pPr>
              <w:pBdr/>
              <w:spacing/>
              <w:ind/>
              <w:jc w:val="center"/>
              <w:rPr/>
            </w:pPr>
            <w:r>
              <w:rPr>
                <w:b/>
                <w:bCs/>
                <w:sz w:val="20"/>
                <w:szCs w:val="20"/>
              </w:rPr>
              <w:t xml:space="preserve">S2</w:t>
            </w:r>
            <w:r/>
          </w:p>
        </w:tc>
        <w:tc>
          <w:tcPr>
            <w:shd w:val="clear" w:color="auto" w:fill="bdd7ee"/>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2C716C7A" w14:textId="77777777">
            <w:pPr>
              <w:pBdr/>
              <w:spacing/>
              <w:ind/>
              <w:jc w:val="center"/>
              <w:rPr/>
            </w:pPr>
            <w:r>
              <w:rPr>
                <w:b/>
                <w:bCs/>
                <w:sz w:val="20"/>
                <w:szCs w:val="20"/>
              </w:rPr>
              <w:t xml:space="preserve">S3</w:t>
            </w:r>
            <w:r/>
          </w:p>
        </w:tc>
        <w:tc>
          <w:tcPr>
            <w:shd w:val="clear" w:color="auto" w:fill="bdd7ee"/>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65B3E9E" w14:textId="77777777">
            <w:pPr>
              <w:pBdr/>
              <w:spacing/>
              <w:ind/>
              <w:jc w:val="center"/>
              <w:rPr/>
            </w:pPr>
            <w:r>
              <w:rPr>
                <w:b/>
                <w:bCs/>
                <w:sz w:val="20"/>
                <w:szCs w:val="20"/>
              </w:rPr>
              <w:t xml:space="preserve">S4</w:t>
            </w:r>
            <w:r/>
          </w:p>
        </w:tc>
        <w:tc>
          <w:tcPr>
            <w:shd w:val="clear" w:color="auto" w:fill="bdd7ee"/>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457DF303" w14:textId="77777777">
            <w:pPr>
              <w:pBdr/>
              <w:spacing/>
              <w:ind/>
              <w:jc w:val="center"/>
              <w:rPr/>
            </w:pPr>
            <w:r>
              <w:rPr>
                <w:b/>
                <w:bCs/>
                <w:sz w:val="20"/>
                <w:szCs w:val="20"/>
              </w:rPr>
              <w:t xml:space="preserve">S5</w:t>
            </w:r>
            <w:r/>
          </w:p>
        </w:tc>
        <w:tc>
          <w:tcPr>
            <w:shd w:val="clear" w:color="auto" w:fill="bdd7ee"/>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0BE09C19" w14:textId="77777777">
            <w:pPr>
              <w:pBdr/>
              <w:spacing/>
              <w:ind/>
              <w:jc w:val="center"/>
              <w:rPr/>
            </w:pPr>
            <w:r>
              <w:rPr>
                <w:b/>
                <w:bCs/>
                <w:sz w:val="20"/>
                <w:szCs w:val="20"/>
              </w:rPr>
              <w:t xml:space="preserve">S6</w:t>
            </w:r>
            <w:r/>
          </w:p>
        </w:tc>
        <w:tc>
          <w:tcPr>
            <w:shd w:val="clear" w:color="auto" w:fill="bdd7ee"/>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42D13509" w14:textId="77777777">
            <w:pPr>
              <w:pBdr/>
              <w:spacing/>
              <w:ind/>
              <w:jc w:val="center"/>
              <w:rPr/>
            </w:pPr>
            <w:r>
              <w:rPr>
                <w:b/>
                <w:bCs/>
                <w:sz w:val="20"/>
                <w:szCs w:val="20"/>
              </w:rPr>
              <w:t xml:space="preserve">S7</w:t>
            </w:r>
            <w:r/>
          </w:p>
        </w:tc>
        <w:tc>
          <w:tcPr>
            <w:shd w:val="clear" w:color="auto" w:fill="bdd7ee"/>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6EEC7ED2" w14:textId="77777777">
            <w:pPr>
              <w:pBdr/>
              <w:spacing/>
              <w:ind/>
              <w:jc w:val="center"/>
              <w:rPr/>
            </w:pPr>
            <w:r>
              <w:rPr>
                <w:b/>
                <w:bCs/>
                <w:sz w:val="20"/>
                <w:szCs w:val="20"/>
              </w:rPr>
              <w:t xml:space="preserve">S8</w:t>
            </w:r>
            <w:r/>
          </w:p>
        </w:tc>
        <w:tc>
          <w:tcPr>
            <w:shd w:val="clear" w:color="auto" w:fill="bdd7ee"/>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01CA355B" w14:textId="77777777">
            <w:pPr>
              <w:pBdr/>
              <w:spacing/>
              <w:ind/>
              <w:jc w:val="center"/>
              <w:rPr/>
            </w:pPr>
            <w:r>
              <w:rPr>
                <w:b/>
                <w:bCs/>
                <w:sz w:val="20"/>
                <w:szCs w:val="20"/>
              </w:rPr>
              <w:t xml:space="preserve">S9</w:t>
            </w:r>
            <w:r/>
          </w:p>
        </w:tc>
        <w:tc>
          <w:tcPr>
            <w:shd w:val="clear" w:color="auto" w:fill="bdd7ee"/>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456D894C" w14:textId="77777777">
            <w:pPr>
              <w:pBdr/>
              <w:spacing/>
              <w:ind/>
              <w:jc w:val="center"/>
              <w:rPr/>
            </w:pPr>
            <w:r>
              <w:rPr>
                <w:b/>
                <w:bCs/>
                <w:sz w:val="20"/>
                <w:szCs w:val="20"/>
              </w:rPr>
              <w:t xml:space="preserve">S10</w:t>
            </w:r>
            <w:r/>
          </w:p>
        </w:tc>
      </w:tr>
      <w:tr>
        <w:trPr/>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900" w:type="dxa"/>
          </w:tcPr>
          <w:p w14:paraId="25B52C38" w14:textId="77777777">
            <w:pPr>
              <w:pBdr/>
              <w:spacing/>
              <w:ind/>
              <w:rPr/>
            </w:pPr>
            <w:r>
              <w:rPr>
                <w:sz w:val="20"/>
                <w:szCs w:val="20"/>
              </w:rPr>
              <w:t xml:space="preserve">Inducción y reconocimiento del área de trabajo</w:t>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26E2B0C" w14:textId="77777777">
            <w:pPr>
              <w:pBdr/>
              <w:spacing/>
              <w:ind/>
              <w:jc w:val="center"/>
              <w:rPr/>
            </w:pPr>
            <w:r>
              <w:rPr>
                <w:b/>
                <w:bCs/>
                <w:color w:val="ffffff"/>
                <w:sz w:val="20"/>
                <w:szCs w:val="20"/>
              </w:rPr>
              <w:t xml:space="preserve">X</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477648DF"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FD660DD"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E4ECD8E"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030C788"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A638B7D"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7EB2782"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3576BAF"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BCB0106"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5F324F7" w14:textId="77777777">
            <w:pPr>
              <w:pBdr/>
              <w:spacing/>
              <w:ind/>
              <w:jc w:val="center"/>
              <w:rPr/>
            </w:pPr>
            <w:r/>
            <w:r/>
          </w:p>
        </w:tc>
      </w:tr>
      <w:tr>
        <w:trPr/>
        <w:tc>
          <w:tcPr>
            <w:shd w:val="clear" w:color="auto" w:fill="deeaf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900" w:type="dxa"/>
          </w:tcPr>
          <w:p w14:paraId="7705DF35" w14:textId="77777777">
            <w:pPr>
              <w:pBdr/>
              <w:spacing/>
              <w:ind/>
              <w:rPr/>
            </w:pPr>
            <w:r>
              <w:rPr>
                <w:sz w:val="20"/>
                <w:szCs w:val="20"/>
              </w:rPr>
              <w:t xml:space="preserve">Levantamiento de información sobre procesos administrativos</w:t>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750EA31" w14:textId="77777777">
            <w:pPr>
              <w:pBdr/>
              <w:spacing/>
              <w:ind/>
              <w:jc w:val="center"/>
              <w:rPr/>
            </w:pPr>
            <w:r>
              <w:rPr>
                <w:b/>
                <w:bCs/>
                <w:color w:val="ffffff"/>
                <w:sz w:val="20"/>
                <w:szCs w:val="20"/>
              </w:rPr>
              <w:t xml:space="preserve">X</w:t>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635300B" w14:textId="77777777">
            <w:pPr>
              <w:pBdr/>
              <w:spacing/>
              <w:ind/>
              <w:jc w:val="center"/>
              <w:rPr/>
            </w:pPr>
            <w:r>
              <w:rPr>
                <w:b/>
                <w:bCs/>
                <w:color w:val="ffffff"/>
                <w:sz w:val="20"/>
                <w:szCs w:val="20"/>
              </w:rPr>
              <w:t xml:space="preserve">X</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180F275"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AE251E3"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76C5413"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1E211E1"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48D4A853"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214A4BD9"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A4C998D"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27AB8845" w14:textId="77777777">
            <w:pPr>
              <w:pBdr/>
              <w:spacing/>
              <w:ind/>
              <w:jc w:val="center"/>
              <w:rPr/>
            </w:pPr>
            <w:r/>
            <w:r/>
          </w:p>
        </w:tc>
      </w:tr>
      <w:tr>
        <w:trPr/>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900" w:type="dxa"/>
          </w:tcPr>
          <w:p w14:paraId="243974CF" w14:textId="77777777">
            <w:pPr>
              <w:pBdr/>
              <w:spacing/>
              <w:ind/>
              <w:rPr/>
            </w:pPr>
            <w:r>
              <w:rPr>
                <w:sz w:val="20"/>
                <w:szCs w:val="20"/>
              </w:rPr>
              <w:t xml:space="preserve">Observación y análisis del proceso de solicitudes de servicio</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4B42F6E6" w14:textId="77777777">
            <w:pPr>
              <w:pBdr/>
              <w:spacing/>
              <w:ind/>
              <w:jc w:val="center"/>
              <w:rPr/>
            </w:pPr>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6306BD41" w14:textId="77777777">
            <w:pPr>
              <w:pBdr/>
              <w:spacing/>
              <w:ind/>
              <w:jc w:val="center"/>
              <w:rPr/>
            </w:pPr>
            <w:r>
              <w:rPr>
                <w:b/>
                <w:bCs/>
                <w:color w:val="ffffff"/>
                <w:sz w:val="20"/>
                <w:szCs w:val="20"/>
              </w:rPr>
              <w:t xml:space="preserve">X</w:t>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4974F71" w14:textId="77777777">
            <w:pPr>
              <w:pBdr/>
              <w:spacing/>
              <w:ind/>
              <w:jc w:val="center"/>
              <w:rPr/>
            </w:pPr>
            <w:r>
              <w:rPr>
                <w:b/>
                <w:bCs/>
                <w:color w:val="ffffff"/>
                <w:sz w:val="20"/>
                <w:szCs w:val="20"/>
              </w:rPr>
              <w:t xml:space="preserve">X</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0BCF59F3"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2CBA8616"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0AB6C66C"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20E6DB34"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37415AF"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2770B278"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297B5B8B" w14:textId="77777777">
            <w:pPr>
              <w:pBdr/>
              <w:spacing/>
              <w:ind/>
              <w:jc w:val="center"/>
              <w:rPr/>
            </w:pPr>
            <w:r/>
            <w:r/>
          </w:p>
        </w:tc>
      </w:tr>
      <w:tr>
        <w:trPr/>
        <w:tc>
          <w:tcPr>
            <w:shd w:val="clear" w:color="auto" w:fill="deeaf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900" w:type="dxa"/>
          </w:tcPr>
          <w:p w14:paraId="7DF16C65" w14:textId="77777777">
            <w:pPr>
              <w:pBdr/>
              <w:spacing/>
              <w:ind/>
              <w:rPr/>
            </w:pPr>
            <w:r>
              <w:rPr>
                <w:sz w:val="20"/>
                <w:szCs w:val="20"/>
              </w:rPr>
              <w:t xml:space="preserve">Diseño y aplicación de instrumentos de recolección de datos</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1D85FCB"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4DFC763" w14:textId="77777777">
            <w:pPr>
              <w:pBdr/>
              <w:spacing/>
              <w:ind/>
              <w:jc w:val="center"/>
              <w:rPr/>
            </w:pPr>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27F0F63C" w14:textId="77777777">
            <w:pPr>
              <w:pBdr/>
              <w:spacing/>
              <w:ind/>
              <w:jc w:val="center"/>
              <w:rPr/>
            </w:pPr>
            <w:r>
              <w:rPr>
                <w:b/>
                <w:bCs/>
                <w:color w:val="ffffff"/>
                <w:sz w:val="20"/>
                <w:szCs w:val="20"/>
              </w:rPr>
              <w:t xml:space="preserve">X</w:t>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62232A65" w14:textId="77777777">
            <w:pPr>
              <w:pBdr/>
              <w:spacing/>
              <w:ind/>
              <w:jc w:val="center"/>
              <w:rPr/>
            </w:pPr>
            <w:r>
              <w:rPr>
                <w:b/>
                <w:bCs/>
                <w:color w:val="ffffff"/>
                <w:sz w:val="20"/>
                <w:szCs w:val="20"/>
              </w:rPr>
              <w:t xml:space="preserve">X</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A1E5348"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86DF540"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2D66A172"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54C5C5E"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6D8066B3"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1F0D816" w14:textId="77777777">
            <w:pPr>
              <w:pBdr/>
              <w:spacing/>
              <w:ind/>
              <w:jc w:val="center"/>
              <w:rPr/>
            </w:pPr>
            <w:r/>
            <w:r/>
          </w:p>
        </w:tc>
      </w:tr>
      <w:tr>
        <w:trPr/>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900" w:type="dxa"/>
          </w:tcPr>
          <w:p w14:paraId="46B75C7C" w14:textId="77777777">
            <w:pPr>
              <w:pBdr/>
              <w:spacing/>
              <w:ind/>
              <w:rPr/>
            </w:pPr>
            <w:r>
              <w:rPr>
                <w:sz w:val="20"/>
                <w:szCs w:val="20"/>
              </w:rPr>
              <w:t xml:space="preserve">Diagnóstico de la situación problemática</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0363CAC8"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266703F2"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90F119C" w14:textId="77777777">
            <w:pPr>
              <w:pBdr/>
              <w:spacing/>
              <w:ind/>
              <w:jc w:val="center"/>
              <w:rPr/>
            </w:pPr>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2237E71" w14:textId="77777777">
            <w:pPr>
              <w:pBdr/>
              <w:spacing/>
              <w:ind/>
              <w:jc w:val="center"/>
              <w:rPr/>
            </w:pPr>
            <w:r>
              <w:rPr>
                <w:b/>
                <w:bCs/>
                <w:color w:val="ffffff"/>
                <w:sz w:val="20"/>
                <w:szCs w:val="20"/>
              </w:rPr>
              <w:t xml:space="preserve">X</w:t>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6B676B1" w14:textId="77777777">
            <w:pPr>
              <w:pBdr/>
              <w:spacing/>
              <w:ind/>
              <w:jc w:val="center"/>
              <w:rPr/>
            </w:pPr>
            <w:r>
              <w:rPr>
                <w:b/>
                <w:bCs/>
                <w:color w:val="ffffff"/>
                <w:sz w:val="20"/>
                <w:szCs w:val="20"/>
              </w:rPr>
              <w:t xml:space="preserve">X</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0F41C45"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FED7734"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402F4B6"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072B664"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BCC1715" w14:textId="77777777">
            <w:pPr>
              <w:pBdr/>
              <w:spacing/>
              <w:ind/>
              <w:jc w:val="center"/>
              <w:rPr/>
            </w:pPr>
            <w:r/>
            <w:r/>
          </w:p>
        </w:tc>
      </w:tr>
      <w:tr>
        <w:trPr/>
        <w:tc>
          <w:tcPr>
            <w:shd w:val="clear" w:color="auto" w:fill="deeaf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900" w:type="dxa"/>
          </w:tcPr>
          <w:p w14:paraId="5B7FA2A1" w14:textId="77777777">
            <w:pPr>
              <w:pBdr/>
              <w:spacing/>
              <w:ind/>
              <w:rPr/>
            </w:pPr>
            <w:r>
              <w:rPr>
                <w:sz w:val="20"/>
                <w:szCs w:val="20"/>
              </w:rPr>
              <w:t xml:space="preserve">Revisión y elaboración del Marco Teórico</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4A8EE0B1"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664EB6D9"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4C986C9"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244B2B2" w14:textId="77777777">
            <w:pPr>
              <w:pBdr/>
              <w:spacing/>
              <w:ind/>
              <w:jc w:val="center"/>
              <w:rPr/>
            </w:pPr>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088433C" w14:textId="77777777">
            <w:pPr>
              <w:pBdr/>
              <w:spacing/>
              <w:ind/>
              <w:jc w:val="center"/>
              <w:rPr/>
            </w:pPr>
            <w:r>
              <w:rPr>
                <w:b/>
                <w:bCs/>
                <w:color w:val="ffffff"/>
                <w:sz w:val="20"/>
                <w:szCs w:val="20"/>
              </w:rPr>
              <w:t xml:space="preserve">X</w:t>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6883648" w14:textId="77777777">
            <w:pPr>
              <w:pBdr/>
              <w:spacing/>
              <w:ind/>
              <w:jc w:val="center"/>
              <w:rPr/>
            </w:pPr>
            <w:r>
              <w:rPr>
                <w:b/>
                <w:bCs/>
                <w:color w:val="ffffff"/>
                <w:sz w:val="20"/>
                <w:szCs w:val="20"/>
              </w:rPr>
              <w:t xml:space="preserve">X</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029727B3"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BDAB2B3"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0067179"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623BDD7C" w14:textId="77777777">
            <w:pPr>
              <w:pBdr/>
              <w:spacing/>
              <w:ind/>
              <w:jc w:val="center"/>
              <w:rPr/>
            </w:pPr>
            <w:r/>
            <w:r/>
          </w:p>
        </w:tc>
      </w:tr>
      <w:tr>
        <w:trPr/>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900" w:type="dxa"/>
          </w:tcPr>
          <w:p w14:paraId="5AAEFC3E" w14:textId="77777777">
            <w:pPr>
              <w:pBdr/>
              <w:spacing/>
              <w:ind/>
              <w:rPr/>
            </w:pPr>
            <w:r>
              <w:rPr>
                <w:sz w:val="20"/>
                <w:szCs w:val="20"/>
              </w:rPr>
              <w:t xml:space="preserve">Ejecución de actividades asignadas en el área administrativa</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060FB264"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233B4DF8"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52AD9F1"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47F7CAE4"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082F6C97" w14:textId="77777777">
            <w:pPr>
              <w:pBdr/>
              <w:spacing/>
              <w:ind/>
              <w:jc w:val="center"/>
              <w:rPr/>
            </w:pPr>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E659594" w14:textId="77777777">
            <w:pPr>
              <w:pBdr/>
              <w:spacing/>
              <w:ind/>
              <w:jc w:val="center"/>
              <w:rPr/>
            </w:pPr>
            <w:r>
              <w:rPr>
                <w:b/>
                <w:bCs/>
                <w:color w:val="ffffff"/>
                <w:sz w:val="20"/>
                <w:szCs w:val="20"/>
              </w:rPr>
              <w:t xml:space="preserve">X</w:t>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A281580" w14:textId="77777777">
            <w:pPr>
              <w:pBdr/>
              <w:spacing/>
              <w:ind/>
              <w:jc w:val="center"/>
              <w:rPr/>
            </w:pPr>
            <w:r>
              <w:rPr>
                <w:b/>
                <w:bCs/>
                <w:color w:val="ffffff"/>
                <w:sz w:val="20"/>
                <w:szCs w:val="20"/>
              </w:rPr>
              <w:t xml:space="preserve">X</w:t>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2ECD94F6" w14:textId="77777777">
            <w:pPr>
              <w:pBdr/>
              <w:spacing/>
              <w:ind/>
              <w:jc w:val="center"/>
              <w:rPr/>
            </w:pPr>
            <w:r>
              <w:rPr>
                <w:b/>
                <w:bCs/>
                <w:color w:val="ffffff"/>
                <w:sz w:val="20"/>
                <w:szCs w:val="20"/>
              </w:rPr>
              <w:t xml:space="preserve">X</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FD86375"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4B6C3AEC" w14:textId="77777777">
            <w:pPr>
              <w:pBdr/>
              <w:spacing/>
              <w:ind/>
              <w:jc w:val="center"/>
              <w:rPr/>
            </w:pPr>
            <w:r/>
            <w:r/>
          </w:p>
        </w:tc>
      </w:tr>
      <w:tr>
        <w:trPr/>
        <w:tc>
          <w:tcPr>
            <w:shd w:val="clear" w:color="auto" w:fill="deeaf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900" w:type="dxa"/>
          </w:tcPr>
          <w:p w14:paraId="08D8BB5D" w14:textId="77777777">
            <w:pPr>
              <w:pBdr/>
              <w:spacing/>
              <w:ind/>
              <w:rPr/>
            </w:pPr>
            <w:r>
              <w:rPr>
                <w:sz w:val="20"/>
                <w:szCs w:val="20"/>
              </w:rPr>
              <w:t xml:space="preserve">Registro semanal de actividades realizadas</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D9887FE"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FA617BA"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01E92F8A"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69D16300"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20CFD4BD"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60212A0E" w14:textId="77777777">
            <w:pPr>
              <w:pBdr/>
              <w:spacing/>
              <w:ind/>
              <w:jc w:val="center"/>
              <w:rPr/>
            </w:pPr>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3573B4B" w14:textId="77777777">
            <w:pPr>
              <w:pBdr/>
              <w:spacing/>
              <w:ind/>
              <w:jc w:val="center"/>
              <w:rPr/>
            </w:pPr>
            <w:r>
              <w:rPr>
                <w:b/>
                <w:bCs/>
                <w:color w:val="ffffff"/>
                <w:sz w:val="20"/>
                <w:szCs w:val="20"/>
              </w:rPr>
              <w:t xml:space="preserve">X</w:t>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48A8EC6" w14:textId="77777777">
            <w:pPr>
              <w:pBdr/>
              <w:spacing/>
              <w:ind/>
              <w:jc w:val="center"/>
              <w:rPr/>
            </w:pPr>
            <w:r>
              <w:rPr>
                <w:b/>
                <w:bCs/>
                <w:color w:val="ffffff"/>
                <w:sz w:val="20"/>
                <w:szCs w:val="20"/>
              </w:rPr>
              <w:t xml:space="preserve">X</w:t>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02943CBE" w14:textId="77777777">
            <w:pPr>
              <w:pBdr/>
              <w:spacing/>
              <w:ind/>
              <w:jc w:val="center"/>
              <w:rPr/>
            </w:pPr>
            <w:r>
              <w:rPr>
                <w:b/>
                <w:bCs/>
                <w:color w:val="ffffff"/>
                <w:sz w:val="20"/>
                <w:szCs w:val="20"/>
              </w:rPr>
              <w:t xml:space="preserve">X</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0BEAED6A" w14:textId="77777777">
            <w:pPr>
              <w:pBdr/>
              <w:spacing/>
              <w:ind/>
              <w:jc w:val="center"/>
              <w:rPr/>
            </w:pPr>
            <w:r/>
            <w:r/>
          </w:p>
        </w:tc>
      </w:tr>
      <w:tr>
        <w:trPr/>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900" w:type="dxa"/>
          </w:tcPr>
          <w:p w14:paraId="5193088C" w14:textId="77777777">
            <w:pPr>
              <w:pBdr/>
              <w:spacing/>
              <w:ind/>
              <w:rPr/>
            </w:pPr>
            <w:r>
              <w:rPr>
                <w:sz w:val="20"/>
                <w:szCs w:val="20"/>
              </w:rPr>
              <w:t xml:space="preserve">Redacción de conclusiones y recomendaciones</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0BBD461"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0CF47D6"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B0391DD"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2FFC32B"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8EF3A70"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4CA1B128"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2161688"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46B58CA" w14:textId="77777777">
            <w:pPr>
              <w:pBdr/>
              <w:spacing/>
              <w:ind/>
              <w:jc w:val="center"/>
              <w:rPr/>
            </w:pPr>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53A211D" w14:textId="77777777">
            <w:pPr>
              <w:pBdr/>
              <w:spacing/>
              <w:ind/>
              <w:jc w:val="center"/>
              <w:rPr/>
            </w:pPr>
            <w:r>
              <w:rPr>
                <w:b/>
                <w:bCs/>
                <w:color w:val="ffffff"/>
                <w:sz w:val="20"/>
                <w:szCs w:val="20"/>
              </w:rPr>
              <w:t xml:space="preserve">X</w:t>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2152650" w14:textId="77777777">
            <w:pPr>
              <w:pBdr/>
              <w:spacing/>
              <w:ind/>
              <w:jc w:val="center"/>
              <w:rPr/>
            </w:pPr>
            <w:r>
              <w:rPr>
                <w:b/>
                <w:bCs/>
                <w:color w:val="ffffff"/>
                <w:sz w:val="20"/>
                <w:szCs w:val="20"/>
              </w:rPr>
              <w:t xml:space="preserve">X</w:t>
            </w:r>
            <w:r/>
          </w:p>
        </w:tc>
      </w:tr>
      <w:tr>
        <w:trPr/>
        <w:tc>
          <w:tcPr>
            <w:shd w:val="clear" w:color="auto" w:fill="deeaf1"/>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2900" w:type="dxa"/>
          </w:tcPr>
          <w:p w14:paraId="45C8927B" w14:textId="77777777">
            <w:pPr>
              <w:pBdr/>
              <w:spacing/>
              <w:ind/>
              <w:rPr/>
            </w:pPr>
            <w:r>
              <w:rPr>
                <w:sz w:val="20"/>
                <w:szCs w:val="20"/>
              </w:rPr>
              <w:t xml:space="preserve">Revisión final y presentación del informe</w:t>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3AA83FF1"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63A9D06C"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04ADB134"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673D5EF"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74E2F495"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41CDF243"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4D3D12E"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1D0C8736" w14:textId="77777777">
            <w:pPr>
              <w:pBdr/>
              <w:spacing/>
              <w:ind/>
              <w:jc w:val="center"/>
              <w:rPr/>
            </w:pPr>
            <w:r/>
            <w:r/>
          </w:p>
        </w:tc>
        <w:tc>
          <w:tcPr>
            <w:shd w:val="clear" w:color="auto" w:fill="ffffff"/>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04ABF09F" w14:textId="77777777">
            <w:pPr>
              <w:pBdr/>
              <w:spacing/>
              <w:ind/>
              <w:jc w:val="center"/>
              <w:rPr/>
            </w:pPr>
            <w:r/>
            <w:r/>
          </w:p>
        </w:tc>
        <w:tc>
          <w:tcPr>
            <w:shd w:val="clear" w:color="auto" w:fill="2e75b6"/>
            <w:tcBorders>
              <w:top w:val="single" w:color="000000" w:sz="4" w:space="0"/>
              <w:left w:val="single" w:color="000000" w:sz="4" w:space="0"/>
              <w:bottom w:val="single" w:color="000000" w:sz="4" w:space="0"/>
              <w:right w:val="single" w:color="000000" w:sz="4" w:space="0"/>
            </w:tcBorders>
            <w:tcMar>
              <w:left w:w="80" w:type="dxa"/>
              <w:top w:w="60" w:type="dxa"/>
              <w:right w:w="80" w:type="dxa"/>
              <w:bottom w:w="60" w:type="dxa"/>
            </w:tcMar>
            <w:tcW w:w="537" w:type="dxa"/>
          </w:tcPr>
          <w:p w14:paraId="533ABA9C" w14:textId="77777777">
            <w:pPr>
              <w:pBdr/>
              <w:spacing/>
              <w:ind/>
              <w:jc w:val="center"/>
              <w:rPr/>
            </w:pPr>
            <w:r>
              <w:rPr>
                <w:b/>
                <w:bCs/>
                <w:color w:val="ffffff"/>
                <w:sz w:val="20"/>
                <w:szCs w:val="20"/>
              </w:rPr>
              <w:t xml:space="preserve">X</w:t>
            </w:r>
            <w:r/>
          </w:p>
        </w:tc>
      </w:tr>
    </w:tbl>
    <w:p w14:paraId="521A11D9" w14:textId="77777777">
      <w:pPr>
        <w:pBdr/>
        <w:spacing w:after="480" w:line="360" w:lineRule="auto"/>
        <w:ind/>
        <w:rPr/>
      </w:pPr>
      <w:r>
        <w:rPr>
          <w:i/>
          <w:iCs/>
          <w:sz w:val="20"/>
          <w:szCs w:val="20"/>
        </w:rPr>
        <w:t xml:space="preserve">Fuente: Elaboración propia (2026)</w:t>
      </w:r>
      <w:r/>
      <w:r>
        <w:rPr>
          <w:i/>
          <w:iCs/>
          <w:color w:val="c00000"/>
        </w:rPr>
      </w:r>
      <w:r/>
      <w:r/>
    </w:p>
    <w:sectPr>
      <w:footnotePr/>
      <w:endnotePr/>
      <w:type w:val="nextPage"/>
      <w:pgSz w:h="15840" w:orient="portrait" w:w="12240"/>
      <w:pgMar w:top="2835" w:right="1701" w:bottom="1701" w:left="2268"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8D152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4"/>
        <w:szCs w:val="24"/>
        <w:lang w:val="es-VE" w:eastAsia="es-VE"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69"/>
    <w:next w:val="66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9"/>
    <w:next w:val="66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9"/>
    <w:next w:val="66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6"/>
    <w:link w:val="670"/>
    <w:uiPriority w:val="9"/>
    <w:pPr>
      <w:pBdr/>
      <w:spacing/>
      <w:ind/>
    </w:pPr>
    <w:rPr>
      <w:rFonts w:ascii="Arial" w:hAnsi="Arial" w:eastAsia="Arial" w:cs="Arial"/>
      <w:color w:val="0f4761" w:themeColor="accent1" w:themeShade="BF"/>
      <w:sz w:val="40"/>
      <w:szCs w:val="40"/>
    </w:rPr>
  </w:style>
  <w:style w:type="character" w:styleId="151">
    <w:name w:val="Heading 2 Char"/>
    <w:basedOn w:val="676"/>
    <w:link w:val="671"/>
    <w:uiPriority w:val="9"/>
    <w:pPr>
      <w:pBdr/>
      <w:spacing/>
      <w:ind/>
    </w:pPr>
    <w:rPr>
      <w:rFonts w:ascii="Arial" w:hAnsi="Arial" w:eastAsia="Arial" w:cs="Arial"/>
      <w:color w:val="0f4761" w:themeColor="accent1" w:themeShade="BF"/>
      <w:sz w:val="32"/>
      <w:szCs w:val="32"/>
    </w:rPr>
  </w:style>
  <w:style w:type="character" w:styleId="152">
    <w:name w:val="Heading 3 Char"/>
    <w:basedOn w:val="676"/>
    <w:link w:val="672"/>
    <w:uiPriority w:val="9"/>
    <w:pPr>
      <w:pBdr/>
      <w:spacing/>
      <w:ind/>
    </w:pPr>
    <w:rPr>
      <w:rFonts w:ascii="Arial" w:hAnsi="Arial" w:eastAsia="Arial" w:cs="Arial"/>
      <w:color w:val="0f4761" w:themeColor="accent1" w:themeShade="BF"/>
      <w:sz w:val="28"/>
      <w:szCs w:val="28"/>
    </w:rPr>
  </w:style>
  <w:style w:type="character" w:styleId="153">
    <w:name w:val="Heading 4 Char"/>
    <w:basedOn w:val="676"/>
    <w:link w:val="673"/>
    <w:uiPriority w:val="9"/>
    <w:pPr>
      <w:pBdr/>
      <w:spacing/>
      <w:ind/>
    </w:pPr>
    <w:rPr>
      <w:rFonts w:ascii="Arial" w:hAnsi="Arial" w:eastAsia="Arial" w:cs="Arial"/>
      <w:i/>
      <w:iCs/>
      <w:color w:val="0f4761" w:themeColor="accent1" w:themeShade="BF"/>
    </w:rPr>
  </w:style>
  <w:style w:type="character" w:styleId="154">
    <w:name w:val="Heading 5 Char"/>
    <w:basedOn w:val="676"/>
    <w:link w:val="674"/>
    <w:uiPriority w:val="9"/>
    <w:pPr>
      <w:pBdr/>
      <w:spacing/>
      <w:ind/>
    </w:pPr>
    <w:rPr>
      <w:rFonts w:ascii="Arial" w:hAnsi="Arial" w:eastAsia="Arial" w:cs="Arial"/>
      <w:color w:val="0f4761" w:themeColor="accent1" w:themeShade="BF"/>
    </w:rPr>
  </w:style>
  <w:style w:type="character" w:styleId="155">
    <w:name w:val="Heading 6 Char"/>
    <w:basedOn w:val="676"/>
    <w:link w:val="675"/>
    <w:uiPriority w:val="9"/>
    <w:pPr>
      <w:pBdr/>
      <w:spacing/>
      <w:ind/>
    </w:pPr>
    <w:rPr>
      <w:rFonts w:ascii="Arial" w:hAnsi="Arial" w:eastAsia="Arial" w:cs="Arial"/>
      <w:i/>
      <w:iCs/>
      <w:color w:val="595959" w:themeColor="text1" w:themeTint="A6"/>
    </w:rPr>
  </w:style>
  <w:style w:type="character" w:styleId="156">
    <w:name w:val="Heading 7 Char"/>
    <w:basedOn w:val="676"/>
    <w:link w:val="145"/>
    <w:uiPriority w:val="9"/>
    <w:pPr>
      <w:pBdr/>
      <w:spacing/>
      <w:ind/>
    </w:pPr>
    <w:rPr>
      <w:rFonts w:ascii="Arial" w:hAnsi="Arial" w:eastAsia="Arial" w:cs="Arial"/>
      <w:color w:val="595959" w:themeColor="text1" w:themeTint="A6"/>
    </w:rPr>
  </w:style>
  <w:style w:type="character" w:styleId="157">
    <w:name w:val="Heading 8 Char"/>
    <w:basedOn w:val="676"/>
    <w:link w:val="146"/>
    <w:uiPriority w:val="9"/>
    <w:pPr>
      <w:pBdr/>
      <w:spacing/>
      <w:ind/>
    </w:pPr>
    <w:rPr>
      <w:rFonts w:ascii="Arial" w:hAnsi="Arial" w:eastAsia="Arial" w:cs="Arial"/>
      <w:i/>
      <w:iCs/>
      <w:color w:val="272727" w:themeColor="text1" w:themeTint="D8"/>
    </w:rPr>
  </w:style>
  <w:style w:type="character" w:styleId="158">
    <w:name w:val="Heading 9 Char"/>
    <w:basedOn w:val="676"/>
    <w:link w:val="147"/>
    <w:uiPriority w:val="9"/>
    <w:pPr>
      <w:pBdr/>
      <w:spacing/>
      <w:ind/>
    </w:pPr>
    <w:rPr>
      <w:rFonts w:ascii="Arial" w:hAnsi="Arial" w:eastAsia="Arial" w:cs="Arial"/>
      <w:i/>
      <w:iCs/>
      <w:color w:val="272727" w:themeColor="text1" w:themeTint="D8"/>
    </w:rPr>
  </w:style>
  <w:style w:type="character" w:styleId="160">
    <w:name w:val="Title Char"/>
    <w:basedOn w:val="676"/>
    <w:link w:val="679"/>
    <w:uiPriority w:val="10"/>
    <w:pPr>
      <w:pBdr/>
      <w:spacing/>
      <w:ind/>
    </w:pPr>
    <w:rPr>
      <w:rFonts w:ascii="Arial" w:hAnsi="Arial" w:eastAsia="Arial" w:cs="Arial"/>
      <w:spacing w:val="-10"/>
      <w:sz w:val="56"/>
      <w:szCs w:val="56"/>
    </w:rPr>
  </w:style>
  <w:style w:type="paragraph" w:styleId="161">
    <w:name w:val="Subtitle"/>
    <w:basedOn w:val="669"/>
    <w:next w:val="669"/>
    <w:link w:val="162"/>
    <w:uiPriority w:val="11"/>
    <w:qFormat/>
    <w:pPr>
      <w:numPr>
        <w:ilvl w:val="1"/>
      </w:numPr>
      <w:pBdr/>
      <w:spacing/>
      <w:ind/>
    </w:pPr>
    <w:rPr>
      <w:color w:val="595959" w:themeColor="text1" w:themeTint="A6"/>
      <w:spacing w:val="15"/>
      <w:sz w:val="28"/>
      <w:szCs w:val="28"/>
    </w:rPr>
  </w:style>
  <w:style w:type="character" w:styleId="162">
    <w:name w:val="Subtitle Char"/>
    <w:basedOn w:val="676"/>
    <w:link w:val="161"/>
    <w:uiPriority w:val="11"/>
    <w:pPr>
      <w:pBdr/>
      <w:spacing/>
      <w:ind/>
    </w:pPr>
    <w:rPr>
      <w:color w:val="595959" w:themeColor="text1" w:themeTint="A6"/>
      <w:spacing w:val="15"/>
      <w:sz w:val="28"/>
      <w:szCs w:val="28"/>
    </w:rPr>
  </w:style>
  <w:style w:type="paragraph" w:styleId="163">
    <w:name w:val="Quote"/>
    <w:basedOn w:val="669"/>
    <w:next w:val="669"/>
    <w:link w:val="164"/>
    <w:uiPriority w:val="29"/>
    <w:qFormat/>
    <w:pPr>
      <w:pBdr/>
      <w:spacing w:before="160"/>
      <w:ind/>
      <w:jc w:val="center"/>
    </w:pPr>
    <w:rPr>
      <w:i/>
      <w:iCs/>
      <w:color w:val="404040" w:themeColor="text1" w:themeTint="BF"/>
    </w:rPr>
  </w:style>
  <w:style w:type="character" w:styleId="164">
    <w:name w:val="Quote Char"/>
    <w:basedOn w:val="676"/>
    <w:link w:val="163"/>
    <w:uiPriority w:val="29"/>
    <w:pPr>
      <w:pBdr/>
      <w:spacing/>
      <w:ind/>
    </w:pPr>
    <w:rPr>
      <w:i/>
      <w:iCs/>
      <w:color w:val="404040" w:themeColor="text1" w:themeTint="BF"/>
    </w:rPr>
  </w:style>
  <w:style w:type="character" w:styleId="166">
    <w:name w:val="Intense Emphasis"/>
    <w:basedOn w:val="676"/>
    <w:uiPriority w:val="21"/>
    <w:qFormat/>
    <w:pPr>
      <w:pBdr/>
      <w:spacing/>
      <w:ind/>
    </w:pPr>
    <w:rPr>
      <w:i/>
      <w:iCs/>
      <w:color w:val="0f4761" w:themeColor="accent1" w:themeShade="BF"/>
    </w:rPr>
  </w:style>
  <w:style w:type="paragraph" w:styleId="167">
    <w:name w:val="Intense Quote"/>
    <w:basedOn w:val="669"/>
    <w:next w:val="66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6"/>
    <w:link w:val="167"/>
    <w:uiPriority w:val="30"/>
    <w:pPr>
      <w:pBdr/>
      <w:spacing/>
      <w:ind/>
    </w:pPr>
    <w:rPr>
      <w:i/>
      <w:iCs/>
      <w:color w:val="0f4761" w:themeColor="accent1" w:themeShade="BF"/>
    </w:rPr>
  </w:style>
  <w:style w:type="character" w:styleId="169">
    <w:name w:val="Intense Reference"/>
    <w:basedOn w:val="676"/>
    <w:uiPriority w:val="32"/>
    <w:qFormat/>
    <w:pPr>
      <w:pBdr/>
      <w:spacing/>
      <w:ind/>
    </w:pPr>
    <w:rPr>
      <w:b/>
      <w:bCs/>
      <w:smallCaps/>
      <w:color w:val="0f4761" w:themeColor="accent1" w:themeShade="BF"/>
      <w:spacing w:val="5"/>
    </w:rPr>
  </w:style>
  <w:style w:type="paragraph" w:styleId="170">
    <w:name w:val="No Spacing"/>
    <w:basedOn w:val="669"/>
    <w:uiPriority w:val="1"/>
    <w:qFormat/>
    <w:pPr>
      <w:pBdr/>
      <w:spacing w:after="0" w:line="240" w:lineRule="auto"/>
      <w:ind/>
    </w:pPr>
  </w:style>
  <w:style w:type="character" w:styleId="171">
    <w:name w:val="Subtle Emphasis"/>
    <w:basedOn w:val="676"/>
    <w:uiPriority w:val="19"/>
    <w:qFormat/>
    <w:pPr>
      <w:pBdr/>
      <w:spacing/>
      <w:ind/>
    </w:pPr>
    <w:rPr>
      <w:i/>
      <w:iCs/>
      <w:color w:val="404040" w:themeColor="text1" w:themeTint="BF"/>
    </w:rPr>
  </w:style>
  <w:style w:type="character" w:styleId="172">
    <w:name w:val="Emphasis"/>
    <w:basedOn w:val="676"/>
    <w:uiPriority w:val="20"/>
    <w:qFormat/>
    <w:pPr>
      <w:pBdr/>
      <w:spacing/>
      <w:ind/>
    </w:pPr>
    <w:rPr>
      <w:i/>
      <w:iCs/>
    </w:rPr>
  </w:style>
  <w:style w:type="character" w:styleId="173">
    <w:name w:val="Strong"/>
    <w:basedOn w:val="676"/>
    <w:uiPriority w:val="22"/>
    <w:qFormat/>
    <w:pPr>
      <w:pBdr/>
      <w:spacing/>
      <w:ind/>
    </w:pPr>
    <w:rPr>
      <w:b/>
      <w:bCs/>
    </w:rPr>
  </w:style>
  <w:style w:type="character" w:styleId="174">
    <w:name w:val="Subtle Reference"/>
    <w:basedOn w:val="676"/>
    <w:uiPriority w:val="31"/>
    <w:qFormat/>
    <w:pPr>
      <w:pBdr/>
      <w:spacing/>
      <w:ind/>
    </w:pPr>
    <w:rPr>
      <w:smallCaps/>
      <w:color w:val="5a5a5a" w:themeColor="text1" w:themeTint="A5"/>
    </w:rPr>
  </w:style>
  <w:style w:type="character" w:styleId="175">
    <w:name w:val="Book Title"/>
    <w:basedOn w:val="676"/>
    <w:uiPriority w:val="33"/>
    <w:qFormat/>
    <w:pPr>
      <w:pBdr/>
      <w:spacing/>
      <w:ind/>
    </w:pPr>
    <w:rPr>
      <w:b/>
      <w:bCs/>
      <w:i/>
      <w:iCs/>
      <w:spacing w:val="5"/>
    </w:rPr>
  </w:style>
  <w:style w:type="paragraph" w:styleId="176">
    <w:name w:val="Header"/>
    <w:basedOn w:val="669"/>
    <w:link w:val="177"/>
    <w:uiPriority w:val="99"/>
    <w:unhideWhenUsed/>
    <w:pPr>
      <w:pBdr/>
      <w:tabs>
        <w:tab w:val="center" w:leader="none" w:pos="4844"/>
        <w:tab w:val="right" w:leader="none" w:pos="9689"/>
      </w:tabs>
      <w:spacing w:after="0" w:line="240" w:lineRule="auto"/>
      <w:ind/>
    </w:pPr>
  </w:style>
  <w:style w:type="character" w:styleId="177">
    <w:name w:val="Header Char"/>
    <w:basedOn w:val="676"/>
    <w:link w:val="176"/>
    <w:uiPriority w:val="99"/>
    <w:pPr>
      <w:pBdr/>
      <w:spacing/>
      <w:ind/>
    </w:pPr>
  </w:style>
  <w:style w:type="paragraph" w:styleId="178">
    <w:name w:val="Footer"/>
    <w:basedOn w:val="669"/>
    <w:link w:val="179"/>
    <w:uiPriority w:val="99"/>
    <w:unhideWhenUsed/>
    <w:pPr>
      <w:pBdr/>
      <w:tabs>
        <w:tab w:val="center" w:leader="none" w:pos="4844"/>
        <w:tab w:val="right" w:leader="none" w:pos="9689"/>
      </w:tabs>
      <w:spacing w:after="0" w:line="240" w:lineRule="auto"/>
      <w:ind/>
    </w:pPr>
  </w:style>
  <w:style w:type="character" w:styleId="179">
    <w:name w:val="Footer Char"/>
    <w:basedOn w:val="676"/>
    <w:link w:val="178"/>
    <w:uiPriority w:val="99"/>
    <w:pPr>
      <w:pBdr/>
      <w:spacing/>
      <w:ind/>
    </w:pPr>
  </w:style>
  <w:style w:type="paragraph" w:styleId="180">
    <w:name w:val="Caption"/>
    <w:basedOn w:val="669"/>
    <w:next w:val="669"/>
    <w:uiPriority w:val="35"/>
    <w:unhideWhenUsed/>
    <w:qFormat/>
    <w:pPr>
      <w:pBdr/>
      <w:spacing w:after="200" w:line="240" w:lineRule="auto"/>
      <w:ind/>
    </w:pPr>
    <w:rPr>
      <w:i/>
      <w:iCs/>
      <w:color w:val="0e2841" w:themeColor="text2"/>
      <w:sz w:val="18"/>
      <w:szCs w:val="18"/>
    </w:rPr>
  </w:style>
  <w:style w:type="character" w:styleId="182">
    <w:name w:val="Footnote Text Char"/>
    <w:basedOn w:val="676"/>
    <w:link w:val="684"/>
    <w:uiPriority w:val="99"/>
    <w:semiHidden/>
    <w:pPr>
      <w:pBdr/>
      <w:spacing/>
      <w:ind/>
    </w:pPr>
    <w:rPr>
      <w:sz w:val="20"/>
      <w:szCs w:val="20"/>
    </w:rPr>
  </w:style>
  <w:style w:type="character" w:styleId="185">
    <w:name w:val="Endnote Text Char"/>
    <w:basedOn w:val="676"/>
    <w:link w:val="687"/>
    <w:uiPriority w:val="99"/>
    <w:semiHidden/>
    <w:pPr>
      <w:pBdr/>
      <w:spacing/>
      <w:ind/>
    </w:pPr>
    <w:rPr>
      <w:sz w:val="20"/>
      <w:szCs w:val="20"/>
    </w:rPr>
  </w:style>
  <w:style w:type="character" w:styleId="188">
    <w:name w:val="FollowedHyperlink"/>
    <w:basedOn w:val="676"/>
    <w:uiPriority w:val="99"/>
    <w:semiHidden/>
    <w:unhideWhenUsed/>
    <w:pPr>
      <w:pBdr/>
      <w:spacing/>
      <w:ind/>
    </w:pPr>
    <w:rPr>
      <w:color w:val="954f72" w:themeColor="followedHyperlink"/>
      <w:u w:val="single"/>
    </w:rPr>
  </w:style>
  <w:style w:type="paragraph" w:styleId="189">
    <w:name w:val="toc 1"/>
    <w:basedOn w:val="669"/>
    <w:next w:val="669"/>
    <w:uiPriority w:val="39"/>
    <w:unhideWhenUsed/>
    <w:pPr>
      <w:pBdr/>
      <w:spacing w:after="100"/>
      <w:ind/>
    </w:pPr>
  </w:style>
  <w:style w:type="paragraph" w:styleId="190">
    <w:name w:val="toc 2"/>
    <w:basedOn w:val="669"/>
    <w:next w:val="669"/>
    <w:uiPriority w:val="39"/>
    <w:unhideWhenUsed/>
    <w:pPr>
      <w:pBdr/>
      <w:spacing w:after="100"/>
      <w:ind w:left="220"/>
    </w:pPr>
  </w:style>
  <w:style w:type="paragraph" w:styleId="191">
    <w:name w:val="toc 3"/>
    <w:basedOn w:val="669"/>
    <w:next w:val="669"/>
    <w:uiPriority w:val="39"/>
    <w:unhideWhenUsed/>
    <w:pPr>
      <w:pBdr/>
      <w:spacing w:after="100"/>
      <w:ind w:left="440"/>
    </w:pPr>
  </w:style>
  <w:style w:type="paragraph" w:styleId="192">
    <w:name w:val="toc 4"/>
    <w:basedOn w:val="669"/>
    <w:next w:val="669"/>
    <w:uiPriority w:val="39"/>
    <w:unhideWhenUsed/>
    <w:pPr>
      <w:pBdr/>
      <w:spacing w:after="100"/>
      <w:ind w:left="660"/>
    </w:pPr>
  </w:style>
  <w:style w:type="paragraph" w:styleId="193">
    <w:name w:val="toc 5"/>
    <w:basedOn w:val="669"/>
    <w:next w:val="669"/>
    <w:uiPriority w:val="39"/>
    <w:unhideWhenUsed/>
    <w:pPr>
      <w:pBdr/>
      <w:spacing w:after="100"/>
      <w:ind w:left="880"/>
    </w:pPr>
  </w:style>
  <w:style w:type="paragraph" w:styleId="194">
    <w:name w:val="toc 6"/>
    <w:basedOn w:val="669"/>
    <w:next w:val="669"/>
    <w:uiPriority w:val="39"/>
    <w:unhideWhenUsed/>
    <w:pPr>
      <w:pBdr/>
      <w:spacing w:after="100"/>
      <w:ind w:left="1100"/>
    </w:pPr>
  </w:style>
  <w:style w:type="paragraph" w:styleId="195">
    <w:name w:val="toc 7"/>
    <w:basedOn w:val="669"/>
    <w:next w:val="669"/>
    <w:uiPriority w:val="39"/>
    <w:unhideWhenUsed/>
    <w:pPr>
      <w:pBdr/>
      <w:spacing w:after="100"/>
      <w:ind w:left="1320"/>
    </w:pPr>
  </w:style>
  <w:style w:type="paragraph" w:styleId="196">
    <w:name w:val="toc 8"/>
    <w:basedOn w:val="669"/>
    <w:next w:val="669"/>
    <w:uiPriority w:val="39"/>
    <w:unhideWhenUsed/>
    <w:pPr>
      <w:pBdr/>
      <w:spacing w:after="100"/>
      <w:ind w:left="1540"/>
    </w:pPr>
  </w:style>
  <w:style w:type="paragraph" w:styleId="197">
    <w:name w:val="toc 9"/>
    <w:basedOn w:val="669"/>
    <w:next w:val="669"/>
    <w:uiPriority w:val="39"/>
    <w:unhideWhenUsed/>
    <w:pPr>
      <w:pBdr/>
      <w:spacing w:after="100"/>
      <w:ind w:left="1760"/>
    </w:pPr>
  </w:style>
  <w:style w:type="character" w:styleId="198">
    <w:name w:val="Placeholder Text"/>
    <w:basedOn w:val="67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9"/>
    <w:next w:val="669"/>
    <w:uiPriority w:val="99"/>
    <w:unhideWhenUsed/>
    <w:pPr>
      <w:pBdr/>
      <w:spacing w:after="0" w:afterAutospacing="0"/>
      <w:ind/>
    </w:pPr>
  </w:style>
  <w:style w:type="paragraph" w:styleId="669" w:default="1">
    <w:name w:val="Normal"/>
    <w:qFormat/>
    <w:pPr>
      <w:pBdr/>
      <w:spacing/>
      <w:ind/>
    </w:pPr>
  </w:style>
  <w:style w:type="paragraph" w:styleId="670">
    <w:name w:val="Heading 1"/>
    <w:uiPriority w:val="9"/>
    <w:qFormat/>
    <w:pPr>
      <w:pBdr/>
      <w:spacing/>
      <w:ind/>
      <w:outlineLvl w:val="0"/>
    </w:pPr>
    <w:rPr>
      <w:color w:val="2e74b5"/>
      <w:sz w:val="32"/>
      <w:szCs w:val="32"/>
    </w:rPr>
  </w:style>
  <w:style w:type="paragraph" w:styleId="671">
    <w:name w:val="Heading 2"/>
    <w:uiPriority w:val="9"/>
    <w:semiHidden/>
    <w:unhideWhenUsed/>
    <w:qFormat/>
    <w:pPr>
      <w:pBdr/>
      <w:spacing/>
      <w:ind/>
      <w:outlineLvl w:val="1"/>
    </w:pPr>
    <w:rPr>
      <w:color w:val="2e74b5"/>
      <w:sz w:val="26"/>
      <w:szCs w:val="26"/>
    </w:rPr>
  </w:style>
  <w:style w:type="paragraph" w:styleId="672">
    <w:name w:val="Heading 3"/>
    <w:uiPriority w:val="9"/>
    <w:semiHidden/>
    <w:unhideWhenUsed/>
    <w:qFormat/>
    <w:pPr>
      <w:pBdr/>
      <w:spacing/>
      <w:ind/>
      <w:outlineLvl w:val="2"/>
    </w:pPr>
    <w:rPr>
      <w:color w:val="1f4d78"/>
    </w:rPr>
  </w:style>
  <w:style w:type="paragraph" w:styleId="673">
    <w:name w:val="Heading 4"/>
    <w:uiPriority w:val="9"/>
    <w:semiHidden/>
    <w:unhideWhenUsed/>
    <w:qFormat/>
    <w:pPr>
      <w:pBdr/>
      <w:spacing/>
      <w:ind/>
      <w:outlineLvl w:val="3"/>
    </w:pPr>
    <w:rPr>
      <w:i/>
      <w:iCs/>
      <w:color w:val="2e74b5"/>
    </w:rPr>
  </w:style>
  <w:style w:type="paragraph" w:styleId="674">
    <w:name w:val="Heading 5"/>
    <w:uiPriority w:val="9"/>
    <w:semiHidden/>
    <w:unhideWhenUsed/>
    <w:qFormat/>
    <w:pPr>
      <w:pBdr/>
      <w:spacing/>
      <w:ind/>
      <w:outlineLvl w:val="4"/>
    </w:pPr>
    <w:rPr>
      <w:color w:val="2e74b5"/>
    </w:rPr>
  </w:style>
  <w:style w:type="paragraph" w:styleId="675">
    <w:name w:val="Heading 6"/>
    <w:uiPriority w:val="9"/>
    <w:semiHidden/>
    <w:unhideWhenUsed/>
    <w:qFormat/>
    <w:pPr>
      <w:pBdr/>
      <w:spacing/>
      <w:ind/>
      <w:outlineLvl w:val="5"/>
    </w:pPr>
    <w:rPr>
      <w:color w:val="1f4d78"/>
    </w:rPr>
  </w:style>
  <w:style w:type="character" w:styleId="676" w:default="1">
    <w:name w:val="Default Paragraph Font"/>
    <w:uiPriority w:val="1"/>
    <w:semiHidden/>
    <w:unhideWhenUsed/>
    <w:pPr>
      <w:pBdr/>
      <w:spacing/>
      <w:ind/>
    </w:pPr>
  </w:style>
  <w:style w:type="table" w:styleId="6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8" w:default="1">
    <w:name w:val="No List"/>
    <w:uiPriority w:val="99"/>
    <w:semiHidden/>
    <w:unhideWhenUsed/>
    <w:pPr>
      <w:pBdr/>
      <w:spacing/>
      <w:ind/>
    </w:pPr>
  </w:style>
  <w:style w:type="paragraph" w:styleId="679">
    <w:name w:val="Title"/>
    <w:uiPriority w:val="10"/>
    <w:qFormat/>
    <w:pPr>
      <w:pBdr/>
      <w:spacing/>
      <w:ind/>
    </w:pPr>
    <w:rPr>
      <w:sz w:val="56"/>
      <w:szCs w:val="56"/>
    </w:rPr>
  </w:style>
  <w:style w:type="paragraph" w:styleId="680" w:customStyle="1">
    <w:name w:val="Fuerte1"/>
    <w:qFormat/>
    <w:pPr>
      <w:pBdr/>
      <w:spacing/>
      <w:ind/>
    </w:pPr>
    <w:rPr>
      <w:b/>
      <w:bCs/>
    </w:rPr>
  </w:style>
  <w:style w:type="paragraph" w:styleId="681">
    <w:name w:val="List Paragraph"/>
    <w:qFormat/>
    <w:pPr>
      <w:pBdr/>
      <w:spacing/>
      <w:ind/>
    </w:pPr>
  </w:style>
  <w:style w:type="character" w:styleId="682">
    <w:name w:val="Hyperlink"/>
    <w:uiPriority w:val="99"/>
    <w:unhideWhenUsed/>
    <w:pPr>
      <w:pBdr/>
      <w:spacing/>
      <w:ind/>
    </w:pPr>
    <w:rPr>
      <w:color w:val="0563c1"/>
      <w:u w:val="single"/>
    </w:rPr>
  </w:style>
  <w:style w:type="character" w:styleId="683">
    <w:name w:val="footnote reference"/>
    <w:uiPriority w:val="99"/>
    <w:semiHidden/>
    <w:unhideWhenUsed/>
    <w:pPr>
      <w:pBdr/>
      <w:spacing/>
      <w:ind/>
    </w:pPr>
    <w:rPr>
      <w:vertAlign w:val="superscript"/>
    </w:rPr>
  </w:style>
  <w:style w:type="paragraph" w:styleId="684">
    <w:name w:val="footnote text"/>
    <w:link w:val="685"/>
    <w:uiPriority w:val="99"/>
    <w:semiHidden/>
    <w:unhideWhenUsed/>
    <w:pPr>
      <w:pBdr/>
      <w:spacing/>
      <w:ind/>
    </w:pPr>
    <w:rPr>
      <w:sz w:val="20"/>
      <w:szCs w:val="20"/>
    </w:rPr>
  </w:style>
  <w:style w:type="character" w:styleId="685" w:customStyle="1">
    <w:name w:val="Texto nota pie Car"/>
    <w:link w:val="684"/>
    <w:uiPriority w:val="99"/>
    <w:semiHidden/>
    <w:unhideWhenUsed/>
    <w:pPr>
      <w:pBdr/>
      <w:spacing/>
      <w:ind/>
    </w:pPr>
    <w:rPr>
      <w:sz w:val="20"/>
      <w:szCs w:val="20"/>
    </w:rPr>
  </w:style>
  <w:style w:type="character" w:styleId="686">
    <w:name w:val="endnote reference"/>
    <w:uiPriority w:val="99"/>
    <w:semiHidden/>
    <w:unhideWhenUsed/>
    <w:pPr>
      <w:pBdr/>
      <w:spacing/>
      <w:ind/>
    </w:pPr>
    <w:rPr>
      <w:vertAlign w:val="superscript"/>
    </w:rPr>
  </w:style>
  <w:style w:type="paragraph" w:styleId="687">
    <w:name w:val="endnote text"/>
    <w:link w:val="688"/>
    <w:uiPriority w:val="99"/>
    <w:semiHidden/>
    <w:unhideWhenUsed/>
    <w:pPr>
      <w:pBdr/>
      <w:spacing/>
      <w:ind/>
    </w:pPr>
    <w:rPr>
      <w:sz w:val="20"/>
      <w:szCs w:val="20"/>
    </w:rPr>
  </w:style>
  <w:style w:type="character" w:styleId="688" w:customStyle="1">
    <w:name w:val="Texto nota al final Car"/>
    <w:link w:val="687"/>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7</cp:revision>
  <dcterms:created xsi:type="dcterms:W3CDTF">2026-06-28T21:50:00Z</dcterms:created>
  <dcterms:modified xsi:type="dcterms:W3CDTF">2026-06-28T23:07:47Z</dcterms:modified>
</cp:coreProperties>
</file>