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5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29 de junio al 03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Culminar el diagnóstico situacional estructurando el diagrama de Ishikawa y fundamentar la investigación teóricamente.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del diagnóstico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Elaborar el análisis formal de la situación problemática identificada en el Departamento de Administración.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PC de oficina, Word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Diagramación de Ishikawa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Construir el diagrama de espina de pescado (causa-efecto) para representar las causas de la pérdida de trazabilidad.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Herramientas de dibujo,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Revisión de antecedentes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Buscar investigaciones previas relacionadas con el control administrativo y la gestión de servicios en telecomunicaciones.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Buscadores web, biblioteca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Definición de bases teóricas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Redactar los conceptos clave sobre control interno administrativo, procesos, trazabilidad y sistemas de tickets.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Libros digitales de administración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Compilación del marco teórico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Estructurar el Capítulo II y las bases teóricas del informe final de pasantías según la norma IUTECP.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Procesador de textos, PC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Sección del Diagnóstico Situacional (Capítulo II), diagrama de Ishikawa causa-efecto digital y primer borrador del marco teórico.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 pasante estructuró de manera excelente el diagnóstico. El diagrama de Ishikawa refleja claramente los vacíos que tenemos en el control de tickets y el canal comercial.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