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PLAN SEMANAL DE PASANTÍAS</w:t>
      </w:r>
    </w:p>
    <w:p>
      <w:pPr>
        <w:spacing w:line="276" w:lineRule="auto" w:after="40"/>
      </w:pPr>
      <w:r>
        <w:rPr>
          <w:rFonts w:ascii="Times New Roman" w:hAnsi="Times New Roman"/>
          <w:b/>
          <w:sz w:val="24"/>
        </w:rPr>
        <w:t xml:space="preserve">EMPRESA: </w:t>
      </w:r>
      <w:r>
        <w:rPr>
          <w:rFonts w:ascii="Times New Roman" w:hAnsi="Times New Roman"/>
          <w:sz w:val="24"/>
        </w:rPr>
        <w:t>Empresa Mixta Petrolera Venangocupet, S.A.</w:t>
      </w:r>
    </w:p>
    <w:p>
      <w:pPr>
        <w:spacing w:line="276" w:lineRule="auto" w:after="40"/>
      </w:pPr>
      <w:r>
        <w:rPr>
          <w:rFonts w:ascii="Times New Roman" w:hAnsi="Times New Roman"/>
          <w:b/>
          <w:sz w:val="24"/>
        </w:rPr>
        <w:t xml:space="preserve">DEPARTAMENTO: </w:t>
      </w:r>
      <w:r>
        <w:rPr>
          <w:rFonts w:ascii="Times New Roman" w:hAnsi="Times New Roman"/>
          <w:sz w:val="24"/>
        </w:rPr>
        <w:t>Presidencia / Alta Dirección</w:t>
      </w:r>
    </w:p>
    <w:p>
      <w:pPr>
        <w:spacing w:line="276" w:lineRule="auto" w:after="40"/>
      </w:pPr>
      <w:r>
        <w:rPr>
          <w:rFonts w:ascii="Times New Roman" w:hAnsi="Times New Roman"/>
          <w:b/>
          <w:sz w:val="24"/>
        </w:rPr>
        <w:t xml:space="preserve">ESPECIALIDAD: </w:t>
      </w:r>
      <w:r>
        <w:rPr>
          <w:rFonts w:ascii="Times New Roman" w:hAnsi="Times New Roman"/>
          <w:sz w:val="24"/>
        </w:rPr>
        <w:t>Informática</w:t>
      </w:r>
    </w:p>
    <w:p>
      <w:pPr>
        <w:spacing w:line="276" w:lineRule="auto" w:after="40"/>
      </w:pPr>
      <w:r>
        <w:rPr>
          <w:rFonts w:ascii="Times New Roman" w:hAnsi="Times New Roman"/>
          <w:b/>
          <w:sz w:val="24"/>
        </w:rPr>
        <w:t xml:space="preserve">SEMANA N°: </w:t>
      </w:r>
      <w:r>
        <w:rPr>
          <w:rFonts w:ascii="Times New Roman" w:hAnsi="Times New Roman"/>
          <w:sz w:val="24"/>
        </w:rPr>
        <w:t>3</w:t>
      </w:r>
    </w:p>
    <w:p>
      <w:pPr>
        <w:spacing w:line="276" w:lineRule="auto" w:after="40"/>
      </w:pPr>
      <w:r>
        <w:rPr>
          <w:rFonts w:ascii="Times New Roman" w:hAnsi="Times New Roman"/>
          <w:b/>
          <w:sz w:val="24"/>
        </w:rPr>
        <w:t xml:space="preserve">PERÍODO: </w:t>
      </w:r>
      <w:r>
        <w:rPr>
          <w:rFonts w:ascii="Times New Roman" w:hAnsi="Times New Roman"/>
          <w:sz w:val="24"/>
        </w:rPr>
        <w:t>Del 29 de junio al 3 de julio de 2026</w:t>
      </w:r>
    </w:p>
    <w:p>
      <w:pPr>
        <w:spacing w:line="276" w:lineRule="auto" w:after="40"/>
      </w:pPr>
      <w:r>
        <w:rPr>
          <w:rFonts w:ascii="Times New Roman" w:hAnsi="Times New Roman"/>
          <w:b/>
          <w:sz w:val="24"/>
        </w:rPr>
        <w:t xml:space="preserve">PASANTE: </w:t>
      </w:r>
      <w:r>
        <w:rPr>
          <w:rFonts w:ascii="Times New Roman" w:hAnsi="Times New Roman"/>
          <w:sz w:val="24"/>
        </w:rPr>
        <w:t>Juliano Cardona  |  C.I.: 32.281.199</w:t>
      </w:r>
    </w:p>
    <w:p>
      <w:pPr>
        <w:spacing w:line="276" w:lineRule="auto" w:after="40"/>
      </w:pPr>
      <w:r>
        <w:rPr>
          <w:rFonts w:ascii="Times New Roman" w:hAnsi="Times New Roman"/>
          <w:b/>
          <w:sz w:val="24"/>
        </w:rPr>
        <w:t xml:space="preserve">TUTOR INDUSTRIAL: </w:t>
      </w:r>
      <w:r>
        <w:rPr>
          <w:rFonts w:ascii="Times New Roman" w:hAnsi="Times New Roman"/>
          <w:sz w:val="24"/>
        </w:rPr>
        <w:t>Ing. Yasmin Sabaneta  |  C.I.: 14.187.924</w:t>
      </w:r>
    </w:p>
    <w:p/>
    <w:p>
      <w:pPr>
        <w:spacing w:after="80"/>
      </w:pPr>
      <w:r>
        <w:rPr>
          <w:rFonts w:ascii="Times New Roman" w:hAnsi="Times New Roman"/>
          <w:b/>
          <w:sz w:val="24"/>
        </w:rPr>
        <w:t>OBJETIVO DE LA SEMANA:</w:t>
      </w:r>
    </w:p>
    <w:p>
      <w:pPr>
        <w:spacing w:line="360" w:lineRule="auto" w:after="0"/>
        <w:jc w:val="both"/>
      </w:pPr>
      <w:r>
        <w:rPr>
          <w:rFonts w:ascii="Times New Roman" w:hAnsi="Times New Roman"/>
          <w:b w:val="0"/>
          <w:sz w:val="24"/>
        </w:rPr>
        <w:t>Implementar la base de datos relacional del proyecto, desarrollar los módulos esenciales de consulta y ejecutar los flujos de transcripción y control de expedientes de la oficina en soporte digital.</w:t>
      </w:r>
    </w:p>
    <w:p/>
    <w:p>
      <w:pPr>
        <w:spacing w:after="120"/>
        <w:jc w:val="center"/>
      </w:pPr>
      <w:r>
        <w:rPr>
          <w:rFonts w:ascii="Times New Roman" w:hAnsi="Times New Roman"/>
          <w:b/>
          <w:sz w:val="20"/>
        </w:rPr>
        <w:t>CUADRO 1. Actividades Planificadas de la Semana 3</w:t>
      </w:r>
    </w:p>
    <w:tbl>
      <w:tblPr>
        <w:tblStyle w:val="TableGrid"/>
        <w:tblW w:type="auto" w:w="0"/>
        <w:jc w:val="center"/>
        <w:tblLook w:firstColumn="1" w:firstRow="1" w:lastColumn="0" w:lastRow="0" w:noHBand="0" w:noVBand="1" w:val="04A0"/>
        <w:tblLayout w:type="fixed"/>
      </w:tblPr>
      <w:tblGrid>
        <w:gridCol w:w="680"/>
        <w:gridCol w:w="1984"/>
        <w:gridCol w:w="3685"/>
        <w:gridCol w:w="1922"/>
      </w:tblGrid>
      <w:tr>
        <w:tc>
          <w:tcPr>
            <w:tcW w:type="dxa" w:w="680"/>
            <w:vAlign w:val="center"/>
            <w:shd w:fill="D9E2F3"/>
          </w:tcPr>
          <w:p>
            <w:pPr>
              <w:spacing w:line="240" w:lineRule="auto" w:before="80" w:after="80"/>
              <w:jc w:val="center"/>
            </w:pPr>
            <w:r/>
            <w:r>
              <w:rPr>
                <w:rFonts w:ascii="Times New Roman" w:hAnsi="Times New Roman"/>
                <w:b/>
                <w:sz w:val="20"/>
              </w:rPr>
              <w:t>Nro</w:t>
            </w:r>
          </w:p>
        </w:tc>
        <w:tc>
          <w:tcPr>
            <w:tcW w:type="dxa" w:w="1984"/>
            <w:vAlign w:val="center"/>
            <w:shd w:fill="D9E2F3"/>
          </w:tcPr>
          <w:p>
            <w:pPr>
              <w:spacing w:line="240" w:lineRule="auto" w:before="80" w:after="80"/>
              <w:jc w:val="center"/>
            </w:pPr>
            <w:r/>
            <w:r>
              <w:rPr>
                <w:rFonts w:ascii="Times New Roman" w:hAnsi="Times New Roman"/>
                <w:b/>
                <w:sz w:val="20"/>
              </w:rPr>
              <w:t>Actividad</w:t>
            </w:r>
          </w:p>
        </w:tc>
        <w:tc>
          <w:tcPr>
            <w:tcW w:type="dxa" w:w="3685"/>
            <w:vAlign w:val="center"/>
            <w:shd w:fill="D9E2F3"/>
          </w:tcPr>
          <w:p>
            <w:pPr>
              <w:spacing w:line="240" w:lineRule="auto" w:before="80" w:after="80"/>
              <w:jc w:val="center"/>
            </w:pPr>
            <w:r/>
            <w:r>
              <w:rPr>
                <w:rFonts w:ascii="Times New Roman" w:hAnsi="Times New Roman"/>
                <w:b/>
                <w:sz w:val="20"/>
              </w:rPr>
              <w:t>Descripción</w:t>
            </w:r>
          </w:p>
        </w:tc>
        <w:tc>
          <w:tcPr>
            <w:tcW w:type="dxa" w:w="1922"/>
            <w:vAlign w:val="center"/>
            <w:shd w:fill="D9E2F3"/>
          </w:tcPr>
          <w:p>
            <w:pPr>
              <w:spacing w:line="240" w:lineRule="auto" w:before="80" w:after="80"/>
              <w:jc w:val="center"/>
            </w:pPr>
            <w:r/>
            <w:r>
              <w:rPr>
                <w:rFonts w:ascii="Times New Roman" w:hAnsi="Times New Roman"/>
                <w:b/>
                <w:sz w:val="20"/>
              </w:rPr>
              <w:t>Recursos</w:t>
            </w:r>
          </w:p>
        </w:tc>
      </w:tr>
      <w:tr>
        <w:tc>
          <w:tcPr>
            <w:tcW w:type="dxa" w:w="680"/>
            <w:vAlign w:val="center"/>
          </w:tcPr>
          <w:p>
            <w:pPr>
              <w:spacing w:line="240" w:lineRule="auto" w:before="80" w:after="80"/>
              <w:jc w:val="center"/>
            </w:pPr>
            <w:r/>
            <w:r>
              <w:rPr>
                <w:rFonts w:ascii="Times New Roman" w:hAnsi="Times New Roman"/>
                <w:b w:val="0"/>
                <w:sz w:val="20"/>
              </w:rPr>
              <w:t>1</w:t>
            </w:r>
          </w:p>
        </w:tc>
        <w:tc>
          <w:tcPr>
            <w:tcW w:type="dxa" w:w="1984"/>
            <w:vAlign w:val="center"/>
          </w:tcPr>
          <w:p>
            <w:pPr>
              <w:spacing w:line="240" w:lineRule="auto" w:before="80" w:after="80"/>
              <w:jc w:val="left"/>
            </w:pPr>
            <w:r/>
            <w:r>
              <w:rPr>
                <w:rFonts w:ascii="Times New Roman" w:hAnsi="Times New Roman"/>
                <w:b w:val="0"/>
                <w:sz w:val="20"/>
              </w:rPr>
              <w:t>Despliegue físico, configuración e inicialización de la base de datos relacional</w:t>
            </w:r>
          </w:p>
        </w:tc>
        <w:tc>
          <w:tcPr>
            <w:tcW w:type="dxa" w:w="3685"/>
            <w:vAlign w:val="center"/>
          </w:tcPr>
          <w:p>
            <w:pPr>
              <w:spacing w:line="240" w:lineRule="auto" w:before="80" w:after="80"/>
              <w:jc w:val="both"/>
            </w:pPr>
            <w:r/>
            <w:r>
              <w:rPr>
                <w:rFonts w:ascii="Times New Roman" w:hAnsi="Times New Roman"/>
                <w:b w:val="0"/>
                <w:sz w:val="20"/>
              </w:rPr>
              <w:t>Ejecución sistemática de la secuencia de comandos de arquitectura estructural en el motor de base de datos SQLite, procediendo con la migración de los registros históricos previamente validados para garantizar la correcta puesta en marcha del sistema de trazabilidad.</w:t>
            </w:r>
          </w:p>
        </w:tc>
        <w:tc>
          <w:tcPr>
            <w:tcW w:type="dxa" w:w="1922"/>
            <w:vAlign w:val="center"/>
          </w:tcPr>
          <w:p>
            <w:pPr>
              <w:spacing w:line="240" w:lineRule="auto" w:before="80" w:after="80"/>
              <w:jc w:val="left"/>
            </w:pPr>
            <w:r/>
            <w:r>
              <w:rPr>
                <w:rFonts w:ascii="Times New Roman" w:hAnsi="Times New Roman"/>
                <w:b w:val="0"/>
                <w:sz w:val="20"/>
              </w:rPr>
              <w:t>Motor de base de datos SQLite, registros y datos históricos</w:t>
            </w:r>
          </w:p>
        </w:tc>
      </w:tr>
      <w:tr>
        <w:tc>
          <w:tcPr>
            <w:tcW w:type="dxa" w:w="680"/>
            <w:vAlign w:val="center"/>
          </w:tcPr>
          <w:p>
            <w:pPr>
              <w:spacing w:line="240" w:lineRule="auto" w:before="80" w:after="80"/>
              <w:jc w:val="center"/>
            </w:pPr>
            <w:r/>
            <w:r>
              <w:rPr>
                <w:rFonts w:ascii="Times New Roman" w:hAnsi="Times New Roman"/>
                <w:b w:val="0"/>
                <w:sz w:val="20"/>
              </w:rPr>
              <w:t>2</w:t>
            </w:r>
          </w:p>
        </w:tc>
        <w:tc>
          <w:tcPr>
            <w:tcW w:type="dxa" w:w="1984"/>
            <w:vAlign w:val="center"/>
          </w:tcPr>
          <w:p>
            <w:pPr>
              <w:spacing w:line="240" w:lineRule="auto" w:before="80" w:after="80"/>
              <w:jc w:val="left"/>
            </w:pPr>
            <w:r/>
            <w:r>
              <w:rPr>
                <w:rFonts w:ascii="Times New Roman" w:hAnsi="Times New Roman"/>
                <w:b w:val="0"/>
                <w:sz w:val="20"/>
              </w:rPr>
              <w:t>Procesamiento y transcripción de expedientes en Excel</w:t>
            </w:r>
          </w:p>
        </w:tc>
        <w:tc>
          <w:tcPr>
            <w:tcW w:type="dxa" w:w="3685"/>
            <w:vAlign w:val="center"/>
          </w:tcPr>
          <w:p>
            <w:pPr>
              <w:spacing w:line="240" w:lineRule="auto" w:before="80" w:after="80"/>
              <w:jc w:val="both"/>
            </w:pPr>
            <w:r/>
            <w:r>
              <w:rPr>
                <w:rFonts w:ascii="Times New Roman" w:hAnsi="Times New Roman"/>
                <w:b w:val="0"/>
                <w:sz w:val="20"/>
              </w:rPr>
              <w:t>Apoyo administrativo mediante la actualización del estatus de expedientes recibidos, dentro del archivo Excel de la oficina.</w:t>
            </w:r>
          </w:p>
        </w:tc>
        <w:tc>
          <w:tcPr>
            <w:tcW w:type="dxa" w:w="1922"/>
            <w:vAlign w:val="center"/>
          </w:tcPr>
          <w:p>
            <w:pPr>
              <w:spacing w:line="240" w:lineRule="auto" w:before="80" w:after="80"/>
              <w:jc w:val="left"/>
            </w:pPr>
            <w:r/>
            <w:r>
              <w:rPr>
                <w:rFonts w:ascii="Times New Roman" w:hAnsi="Times New Roman"/>
                <w:b w:val="0"/>
                <w:sz w:val="20"/>
              </w:rPr>
              <w:t>Computador de la oficina, hojas de cálculo preexistentes</w:t>
            </w:r>
          </w:p>
        </w:tc>
      </w:tr>
      <w:tr>
        <w:tc>
          <w:tcPr>
            <w:tcW w:type="dxa" w:w="680"/>
            <w:vAlign w:val="center"/>
          </w:tcPr>
          <w:p>
            <w:pPr>
              <w:spacing w:line="240" w:lineRule="auto" w:before="80" w:after="80"/>
              <w:jc w:val="center"/>
            </w:pPr>
            <w:r/>
            <w:r>
              <w:rPr>
                <w:rFonts w:ascii="Times New Roman" w:hAnsi="Times New Roman"/>
                <w:b w:val="0"/>
                <w:sz w:val="20"/>
              </w:rPr>
              <w:t>3</w:t>
            </w:r>
          </w:p>
        </w:tc>
        <w:tc>
          <w:tcPr>
            <w:tcW w:type="dxa" w:w="1984"/>
            <w:vAlign w:val="center"/>
          </w:tcPr>
          <w:p>
            <w:pPr>
              <w:spacing w:line="240" w:lineRule="auto" w:before="80" w:after="80"/>
              <w:jc w:val="left"/>
            </w:pPr>
            <w:r/>
            <w:r>
              <w:rPr>
                <w:rFonts w:ascii="Times New Roman" w:hAnsi="Times New Roman"/>
                <w:b w:val="0"/>
                <w:sz w:val="20"/>
              </w:rPr>
              <w:t>Diseño y desarrollo de interfaces de usuario</w:t>
            </w:r>
          </w:p>
        </w:tc>
        <w:tc>
          <w:tcPr>
            <w:tcW w:type="dxa" w:w="3685"/>
            <w:vAlign w:val="center"/>
          </w:tcPr>
          <w:p>
            <w:pPr>
              <w:spacing w:line="240" w:lineRule="auto" w:before="80" w:after="80"/>
              <w:jc w:val="both"/>
            </w:pPr>
            <w:r/>
            <w:r>
              <w:rPr>
                <w:rFonts w:ascii="Times New Roman" w:hAnsi="Times New Roman"/>
                <w:b w:val="0"/>
                <w:sz w:val="20"/>
              </w:rPr>
              <w:t>Construcción de los formularios de captura de datos y configuración de las lógicas de actualización para el control del historial de movimientos documentales.</w:t>
            </w:r>
          </w:p>
        </w:tc>
        <w:tc>
          <w:tcPr>
            <w:tcW w:type="dxa" w:w="1922"/>
            <w:vAlign w:val="center"/>
          </w:tcPr>
          <w:p>
            <w:pPr>
              <w:spacing w:line="240" w:lineRule="auto" w:before="80" w:after="80"/>
              <w:jc w:val="left"/>
            </w:pPr>
            <w:r/>
            <w:r>
              <w:rPr>
                <w:rFonts w:ascii="Times New Roman" w:hAnsi="Times New Roman"/>
                <w:b w:val="0"/>
                <w:sz w:val="20"/>
              </w:rPr>
              <w:t>Entorno de LibreOffice Base, base de datos SQLite</w:t>
            </w:r>
          </w:p>
        </w:tc>
      </w:tr>
      <w:tr>
        <w:tc>
          <w:tcPr>
            <w:tcW w:type="dxa" w:w="680"/>
            <w:vAlign w:val="center"/>
          </w:tcPr>
          <w:p>
            <w:pPr>
              <w:spacing w:line="240" w:lineRule="auto" w:before="80" w:after="80"/>
              <w:jc w:val="center"/>
            </w:pPr>
            <w:r/>
            <w:r>
              <w:rPr>
                <w:rFonts w:ascii="Times New Roman" w:hAnsi="Times New Roman"/>
                <w:b w:val="0"/>
                <w:sz w:val="20"/>
              </w:rPr>
              <w:t>4</w:t>
            </w:r>
          </w:p>
        </w:tc>
        <w:tc>
          <w:tcPr>
            <w:tcW w:type="dxa" w:w="1984"/>
            <w:vAlign w:val="center"/>
          </w:tcPr>
          <w:p>
            <w:pPr>
              <w:spacing w:line="240" w:lineRule="auto" w:before="80" w:after="80"/>
              <w:jc w:val="left"/>
            </w:pPr>
            <w:r/>
            <w:r>
              <w:rPr>
                <w:rFonts w:ascii="Times New Roman" w:hAnsi="Times New Roman"/>
                <w:b w:val="0"/>
                <w:sz w:val="20"/>
              </w:rPr>
              <w:t>Control de documentos y validación de consultas</w:t>
            </w:r>
          </w:p>
        </w:tc>
        <w:tc>
          <w:tcPr>
            <w:tcW w:type="dxa" w:w="3685"/>
            <w:vAlign w:val="center"/>
          </w:tcPr>
          <w:p>
            <w:pPr>
              <w:spacing w:line="240" w:lineRule="auto" w:before="80" w:after="80"/>
              <w:jc w:val="both"/>
            </w:pPr>
            <w:r/>
            <w:r>
              <w:rPr>
                <w:rFonts w:ascii="Times New Roman" w:hAnsi="Times New Roman"/>
                <w:b w:val="0"/>
                <w:sz w:val="20"/>
              </w:rPr>
              <w:t>Carga de metadatos para el registro de movimientos en el archivo Excel, aprovechando de forma simultánea estos flujos de información real para ejecutar pruebas, depuración y validación de las consultas de trazabilidad SQL en el entorno del proyecto.</w:t>
            </w:r>
          </w:p>
        </w:tc>
        <w:tc>
          <w:tcPr>
            <w:tcW w:type="dxa" w:w="1922"/>
            <w:vAlign w:val="center"/>
          </w:tcPr>
          <w:p>
            <w:pPr>
              <w:spacing w:line="240" w:lineRule="auto" w:before="80" w:after="80"/>
              <w:jc w:val="left"/>
            </w:pPr>
            <w:r/>
            <w:r>
              <w:rPr>
                <w:rFonts w:ascii="Times New Roman" w:hAnsi="Times New Roman"/>
                <w:b w:val="0"/>
                <w:sz w:val="20"/>
              </w:rPr>
              <w:t>Sistema Excel, documentos, motor de base de datos SQLite</w:t>
            </w:r>
          </w:p>
        </w:tc>
      </w:tr>
      <w:tr>
        <w:tc>
          <w:tcPr>
            <w:tcW w:type="dxa" w:w="680"/>
            <w:vAlign w:val="center"/>
          </w:tcPr>
          <w:p>
            <w:pPr>
              <w:spacing w:line="240" w:lineRule="auto" w:before="80" w:after="80"/>
              <w:jc w:val="center"/>
            </w:pPr>
            <w:r/>
            <w:r>
              <w:rPr>
                <w:rFonts w:ascii="Times New Roman" w:hAnsi="Times New Roman"/>
                <w:b w:val="0"/>
                <w:sz w:val="20"/>
              </w:rPr>
              <w:t>5</w:t>
            </w:r>
          </w:p>
        </w:tc>
        <w:tc>
          <w:tcPr>
            <w:tcW w:type="dxa" w:w="1984"/>
            <w:vAlign w:val="center"/>
          </w:tcPr>
          <w:p>
            <w:pPr>
              <w:spacing w:line="240" w:lineRule="auto" w:before="80" w:after="80"/>
              <w:jc w:val="left"/>
            </w:pPr>
            <w:r/>
            <w:r>
              <w:rPr>
                <w:rFonts w:ascii="Times New Roman" w:hAnsi="Times New Roman"/>
                <w:b w:val="0"/>
                <w:sz w:val="20"/>
              </w:rPr>
              <w:t>Consultas de trazabilidad y evaluación técnica</w:t>
            </w:r>
          </w:p>
        </w:tc>
        <w:tc>
          <w:tcPr>
            <w:tcW w:type="dxa" w:w="3685"/>
            <w:vAlign w:val="center"/>
          </w:tcPr>
          <w:p>
            <w:pPr>
              <w:spacing w:line="240" w:lineRule="auto" w:before="80" w:after="80"/>
              <w:jc w:val="both"/>
            </w:pPr>
            <w:r/>
            <w:r>
              <w:rPr>
                <w:rFonts w:ascii="Times New Roman" w:hAnsi="Times New Roman"/>
                <w:b w:val="0"/>
                <w:sz w:val="20"/>
              </w:rPr>
              <w:t>Programación de consultas estructuradas de búsqueda por descripción o fecha, y detección de limitaciones técnicas en la escalabilidad de las macros del entorno LibreOffice Base.</w:t>
            </w:r>
          </w:p>
        </w:tc>
        <w:tc>
          <w:tcPr>
            <w:tcW w:type="dxa" w:w="1922"/>
            <w:vAlign w:val="center"/>
          </w:tcPr>
          <w:p>
            <w:pPr>
              <w:spacing w:line="240" w:lineRule="auto" w:before="80" w:after="80"/>
              <w:jc w:val="left"/>
            </w:pPr>
            <w:r/>
            <w:r>
              <w:rPr>
                <w:rFonts w:ascii="Times New Roman" w:hAnsi="Times New Roman"/>
                <w:b w:val="0"/>
                <w:sz w:val="20"/>
              </w:rPr>
              <w:t>Editor de base de datos</w:t>
            </w:r>
          </w:p>
        </w:tc>
      </w:tr>
    </w:tbl>
    <w:p/>
    <w:p>
      <w:pPr>
        <w:spacing w:after="80"/>
      </w:pPr>
      <w:r>
        <w:rPr>
          <w:rFonts w:ascii="Times New Roman" w:hAnsi="Times New Roman"/>
          <w:b/>
          <w:sz w:val="24"/>
        </w:rPr>
        <w:t>ENTREGABLES DE LA SEMANA:</w:t>
      </w:r>
    </w:p>
    <w:p>
      <w:pPr>
        <w:spacing w:line="360" w:lineRule="auto" w:after="0"/>
        <w:jc w:val="both"/>
      </w:pPr>
      <w:r>
        <w:rPr>
          <w:rFonts w:ascii="Times New Roman" w:hAnsi="Times New Roman"/>
          <w:b w:val="0"/>
          <w:sz w:val="24"/>
        </w:rPr>
        <w:t>Módulos funcionales de registro y seguimiento de documentos en el entorno de desarrollo, y procesamiento al día de los expedientes físicos en el sistema Excel.</w:t>
      </w:r>
    </w:p>
    <w:p/>
    <w:p>
      <w:pPr>
        <w:spacing w:after="80"/>
      </w:pPr>
      <w:r>
        <w:rPr>
          <w:rFonts w:ascii="Times New Roman" w:hAnsi="Times New Roman"/>
          <w:b/>
          <w:sz w:val="24"/>
        </w:rPr>
        <w:t>OBSERVACIONES DEL TUTOR INDUSTRIAL:</w:t>
      </w:r>
    </w:p>
    <w:p>
      <w:pPr>
        <w:spacing w:line="360" w:lineRule="auto"/>
      </w:pPr>
      <w:r>
        <w:rPr>
          <w:rFonts w:ascii="Times New Roman" w:hAnsi="Times New Roman"/>
          <w:i/>
          <w:sz w:val="22"/>
        </w:rPr>
        <w:t>(Espacio reservado para la evaluación cualitativa del tutor sobre puntualidad, actitud, comprensión técnica y cumplimiento de normas internas)</w:t>
      </w:r>
    </w:p>
    <w:p>
      <w:pPr>
        <w:spacing w:before="160" w:after="0"/>
      </w:pPr>
      <w:r>
        <w:rPr>
          <w:rFonts w:ascii="Times New Roman" w:hAnsi="Times New Roman"/>
          <w:b/>
        </w:rPr>
        <w:t>___________________________________________________________________________</w:t>
      </w:r>
    </w:p>
    <w:p>
      <w:pPr>
        <w:spacing w:before="160" w:after="0"/>
      </w:pPr>
      <w:r>
        <w:rPr>
          <w:rFonts w:ascii="Times New Roman" w:hAnsi="Times New Roman"/>
          <w:b/>
        </w:rPr>
        <w:t>___________________________________________________________________________</w:t>
      </w:r>
    </w:p>
    <w:p>
      <w:pPr>
        <w:spacing w:before="160" w:after="0"/>
      </w:pPr>
      <w:r>
        <w:rPr>
          <w:rFonts w:ascii="Times New Roman" w:hAnsi="Times New Roman"/>
          <w:b/>
        </w:rPr>
        <w:t>___________________________________________________________________________</w:t>
      </w:r>
    </w:p>
    <w:p>
      <w:pPr>
        <w:spacing w:before="160" w:after="0"/>
      </w:pPr>
      <w:r>
        <w:rPr>
          <w:rFonts w:ascii="Times New Roman" w:hAnsi="Times New Roman"/>
          <w:b/>
        </w:rPr>
        <w:t>___________________________________________________________________________</w:t>
      </w:r>
    </w:p>
    <w:p/>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center"/>
          </w:tcPr>
          <w:p>
            <w:pPr>
              <w:spacing w:line="240" w:lineRule="auto" w:before="80" w:after="80"/>
              <w:jc w:val="center"/>
            </w:pPr>
            <w:r/>
            <w:r>
              <w:rPr>
                <w:rFonts w:ascii="Times New Roman" w:hAnsi="Times New Roman"/>
                <w:b w:val="0"/>
                <w:sz w:val="24"/>
              </w:rPr>
              <w:t>_________________________</w:t>
            </w:r>
          </w:p>
        </w:tc>
        <w:tc>
          <w:tcPr>
            <w:tcW w:type="dxa" w:w="4139"/>
            <w:vAlign w:val="center"/>
          </w:tcPr>
          <w:p>
            <w:pPr>
              <w:spacing w:line="240" w:lineRule="auto" w:before="80" w:after="80"/>
              <w:jc w:val="center"/>
            </w:pPr>
            <w:r/>
            <w:r>
              <w:rPr>
                <w:rFonts w:ascii="Times New Roman" w:hAnsi="Times New Roman"/>
                <w:b w:val="0"/>
                <w:sz w:val="24"/>
              </w:rPr>
              <w:t>_________________________</w:t>
            </w:r>
          </w:p>
        </w:tc>
      </w:tr>
      <w:tr>
        <w:tc>
          <w:tcPr>
            <w:tcW w:type="dxa" w:w="4133"/>
            <w:vAlign w:val="center"/>
          </w:tcPr>
          <w:p>
            <w:pPr>
              <w:spacing w:line="240" w:lineRule="auto" w:before="80" w:after="80"/>
              <w:jc w:val="center"/>
            </w:pPr>
            <w:r/>
            <w:r>
              <w:rPr>
                <w:rFonts w:ascii="Times New Roman" w:hAnsi="Times New Roman"/>
                <w:b w:val="0"/>
                <w:sz w:val="18"/>
              </w:rPr>
              <w:t>Firma del Pasante:</w:t>
              <w:br/>
              <w:t>Juliano Cardona | C.I.: 32.281.199</w:t>
            </w:r>
          </w:p>
        </w:tc>
        <w:tc>
          <w:tcPr>
            <w:tcW w:type="dxa" w:w="4139"/>
            <w:vAlign w:val="center"/>
          </w:tcPr>
          <w:p>
            <w:pPr>
              <w:spacing w:line="240" w:lineRule="auto" w:before="80" w:after="80"/>
              <w:jc w:val="center"/>
            </w:pPr>
            <w:r/>
            <w:r>
              <w:rPr>
                <w:rFonts w:ascii="Times New Roman" w:hAnsi="Times New Roman"/>
                <w:b w:val="0"/>
                <w:sz w:val="18"/>
              </w:rPr>
              <w:t>Firma del Tutor Industrial:</w:t>
              <w:br/>
              <w:t>Ing. Yasmin Sabaneta | C.I.: 14.187.924</w:t>
            </w:r>
          </w:p>
        </w:tc>
      </w:tr>
    </w:tbl>
    <w:p/>
    <w:p>
      <w:pPr>
        <w:spacing w:before="240"/>
        <w:jc w:val="center"/>
      </w:pPr>
      <w:r>
        <w:rPr>
          <w:rFonts w:ascii="Times New Roman" w:hAnsi="Times New Roman"/>
          <w:b/>
          <w:sz w:val="20"/>
        </w:rPr>
        <w:t>SELLO DE LA EMPRESA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