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1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01 al 05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Formalizar el inicio de las pasantías dentro de la modalidad institucional en el puesto habitual de trabajo y delimitar los tiempos de investigación.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Formalización del inicio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Reunión con la gerencia general y el tutor industrial para consignar los formatos institucionales del IUTECP.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Cartas de postulación, plan institucional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Alineación de objetivos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Vincular las metas del proyecto técnico con las funciones contables y de compra que ya ejecuta en su día a día.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Manual de procesos, PC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Establecimiento de tiempos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Definir los bloques horarios de la jornada diaria dedicados exclusivamente a la recolección de datos y revisión de expedientes.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Calendario laboral, agenda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metodológica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Revisar los lineamientos del instituto con el tutor para asegurar el correcto resguardo confidencial de la información empresarial.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Normativa IUTECP, documentos internos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Apertura del cuaderno de campo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Organizar la libreta de registro técnico para documentar los eventos específicos observados durante la jornada.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Cuaderno de apuntes, papelería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Acta de inicio de pasantías visada por la empresa y cronograma operativo validado por el tutor industrial.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trabajadora y ahora pasante Keidy Guzmán formalizó el inicio de su período académico en su puesto habitual del área de procura. Mantiene su excelente desempeño y puntualidad, coordinando eficientemente sus obligaciones rutinarias con el levantamiento del proyecto.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