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9"/>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Desde la perspectiva del investigador, el sistema propuesto debe priorizar información confiable y oportuna para apoyar las decisiones de la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line="360" w:lineRule="auto" w:after="0" w:before="0"/>
        <w:ind w:firstLine="709"/>
        <w:jc w:val="both"/>
      </w:pPr>
      <w:r>
        <w:rPr>
          <w:rFonts w:ascii="Times New Roman" w:hAnsi="Times New Roman"/>
          <w:i w:val="0"/>
          <w:sz w:val="24"/>
        </w:rPr>
        <w:t>La selección de SQLite se fundamenta en las condiciones reales del entorno de Presidencia, donde se requiere una solución portable y funcional sin depender de una infraestructura de servidor.</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investigador, automatizar el registro y los reportes permite que el personal dedique más tiempo a revisar y coordinar los expedientes, en lugar de copiar datos manualmente.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se ajusta a este trabajo porque el diagnóstico del flujo documental culmina en un prototipo desarrollado y validado según las necesidades de Presidencia.</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1"/>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4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3"/>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44"/>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5"/>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6"/>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7"/>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 Id="rId47" Type="http://schemas.openxmlformats.org/officeDocument/2006/relationships/footer" Target="footer35.xml"/><Relationship Id="rId48"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