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32"/>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800" w:after="0"/>
        <w:jc w:val="center"/>
      </w:pPr>
      <w:r>
        <w:rPr>
          <w:rFonts w:ascii="Times New Roman" w:hAnsi="Times New Roman"/>
          <w:sz w:val="24"/>
        </w:rPr>
        <w:t>El Tigre, agosto de 2026</w:t>
      </w:r>
    </w:p>
    <w:p>
      <w:pPr>
        <w:sectPr>
          <w:footerReference w:type="default" r:id="rId33"/>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1" w:name="bm_aprob_ind"/>
      <w:pPr>
        <w:spacing w:before="480" w:after="480"/>
        <w:jc w:val="center"/>
      </w:pPr>
      <w:r>
        <w:rPr>
          <w:rFonts w:ascii="Times New Roman" w:hAnsi="Times New Roman"/>
          <w:b/>
          <w:sz w:val="24"/>
        </w:rPr>
        <w:t>APROBACIÓN DEL TUTOR INDUSTRIAL</w:t>
      </w:r>
      <w:bookmarkEnd w:id="1"/>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14 días del mes de agosto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3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1077989"/>
            <wp:docPr id="3" name="Picture 3"/>
            <wp:cNvGraphicFramePr>
              <a:graphicFrameLocks noChangeAspect="1"/>
            </wp:cNvGraphicFramePr>
            <a:graphic>
              <a:graphicData uri="http://schemas.openxmlformats.org/drawingml/2006/picture">
                <pic:pic>
                  <pic:nvPicPr>
                    <pic:cNvPr id="0" name="firma_tutor_academico.png"/>
                    <pic:cNvPicPr/>
                  </pic:nvPicPr>
                  <pic:blipFill>
                    <a:blip r:embed="rId11"/>
                    <a:stretch>
                      <a:fillRect/>
                    </a:stretch>
                  </pic:blipFill>
                  <pic:spPr>
                    <a:xfrm>
                      <a:off x="0" y="0"/>
                      <a:ext cx="1440000" cy="1077989"/>
                    </a:xfrm>
                    <a:prstGeom prst="rect"/>
                  </pic:spPr>
                </pic:pic>
              </a:graphicData>
            </a:graphic>
          </wp:inline>
        </w:drawing>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35"/>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Al Instituto Universitario de Tecnología “Elías Calixto Pompa” (IUTECP), por la formación recibida; a Ingeniería de Telecomunicaciones, C.A. (IDETEL), por permitirme desarrollar las pasantías y conocer de manera directa sus procesos de atención y administración; a mis tutores, por sus orientaciones y observaciones durante la elaboración del informe; y al personal de la empresa, por su disposición, acompañamiento y colaboración durante las actividades realizadas.</w:t>
      </w:r>
    </w:p>
    <w:p>
      <w:pPr>
        <w:sectPr>
          <w:footerReference w:type="default" r:id="rId36"/>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su apoyo constante, comprensión y motivación durante mi formación académica y en el desarrollo de esta etapa profesional.</w:t>
      </w:r>
    </w:p>
    <w:p>
      <w:pPr>
        <w:sectPr>
          <w:footerReference w:type="default" r:id="rId37"/>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38"/>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 la empresa</w:t>
        <w:tab/>
      </w:r>
      <w:r>
        <w:rPr>
          <w:rFonts w:ascii="Times New Roman" w:hAnsi="Times New Roman"/>
          <w:b w:val="0"/>
          <w:sz w:val="24"/>
        </w:rPr>
        <w:fldChar w:fldCharType="begin"/>
        <w:instrText xml:space="preserve"> PAGEREF bm_cuadro1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Planificación integral de objetivos específicos</w:t>
        <w:tab/>
      </w:r>
      <w:r>
        <w:rPr>
          <w:rFonts w:ascii="Times New Roman" w:hAnsi="Times New Roman"/>
          <w:b w:val="0"/>
          <w:sz w:val="24"/>
        </w:rPr>
        <w:fldChar w:fldCharType="begin"/>
        <w:instrText xml:space="preserve"> PAGEREF bm_cuadro2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Cronograma de actividades de la pasantía</w:t>
        <w:tab/>
      </w:r>
      <w:r>
        <w:rPr>
          <w:rFonts w:ascii="Times New Roman" w:hAnsi="Times New Roman"/>
          <w:b w:val="0"/>
          <w:sz w:val="24"/>
        </w:rPr>
        <w:fldChar w:fldCharType="begin"/>
        <w:instrText xml:space="preserve"> PAGEREF bm_cuadro3 \h </w:instrText>
        <w:fldChar w:fldCharType="separate"/>
        <w:t>?</w:t>
        <w:fldChar w:fldCharType="end"/>
      </w:r>
    </w:p>
    <w:p>
      <w:pPr>
        <w:sectPr>
          <w:footerReference w:type="default" r:id="rId39"/>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40"/>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Diagrama de Ishikawa del control de solicitudes</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Flujograma AS-IS de afiliaciones e incidencias</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Swimlane interdepartamental de gestión de solicitudes</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Estados de una solicitud de servicio</w:t>
        <w:tab/>
      </w:r>
      <w:r>
        <w:rPr>
          <w:rFonts w:ascii="Times New Roman" w:hAnsi="Times New Roman"/>
          <w:b w:val="0"/>
          <w:sz w:val="24"/>
        </w:rPr>
        <w:fldChar w:fldCharType="begin"/>
        <w:instrText xml:space="preserve"> PAGEREF bm_anexoE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F</w:t>
        <w:tab/>
        <w:t>Comunicación interdepartamental</w:t>
        <w:tab/>
      </w:r>
      <w:r>
        <w:rPr>
          <w:rFonts w:ascii="Times New Roman" w:hAnsi="Times New Roman"/>
          <w:b w:val="0"/>
          <w:sz w:val="24"/>
        </w:rPr>
        <w:fldChar w:fldCharType="begin"/>
        <w:instrText xml:space="preserve"> PAGEREF bm_anexoF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G</w:t>
        <w:tab/>
        <w:t>Comparación AS-IS y TO-BE del control de solicitudes</w:t>
        <w:tab/>
      </w:r>
      <w:r>
        <w:rPr>
          <w:rFonts w:ascii="Times New Roman" w:hAnsi="Times New Roman"/>
          <w:b w:val="0"/>
          <w:sz w:val="24"/>
        </w:rPr>
        <w:fldChar w:fldCharType="begin"/>
        <w:instrText xml:space="preserve"> PAGEREF bm_anexoG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H</w:t>
        <w:tab/>
        <w:t>Diagrama de Ishikawa del control y trazabilidad de las solicitudes de servicio</w:t>
        <w:tab/>
      </w:r>
      <w:r>
        <w:rPr>
          <w:rFonts w:ascii="Times New Roman" w:hAnsi="Times New Roman"/>
          <w:b w:val="0"/>
          <w:sz w:val="24"/>
        </w:rPr>
        <w:fldChar w:fldCharType="begin"/>
        <w:instrText xml:space="preserve"> PAGEREF bm_anexoH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I</w:t>
        <w:tab/>
        <w:t>Memoria fotográfica de las actividades realizadas</w:t>
        <w:tab/>
      </w:r>
      <w:r>
        <w:rPr>
          <w:rFonts w:ascii="Times New Roman" w:hAnsi="Times New Roman"/>
          <w:b w:val="0"/>
          <w:sz w:val="24"/>
        </w:rPr>
        <w:fldChar w:fldCharType="begin"/>
        <w:instrText xml:space="preserve"> PAGEREF bm_anexoI \h </w:instrText>
        <w:fldChar w:fldCharType="separate"/>
        <w:t>?</w:t>
        <w:fldChar w:fldCharType="end"/>
      </w:r>
    </w:p>
    <w:p>
      <w:pPr>
        <w:sectPr>
          <w:footerReference w:type="default" r:id="rId41"/>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40" w:lineRule="auto" w:after="120"/>
        <w:ind w:left="0"/>
        <w:jc w:val="right"/>
      </w:pPr>
      <w:r>
        <w:rPr>
          <w:rFonts w:ascii="Times New Roman" w:hAnsi="Times New Roman"/>
          <w:b/>
          <w:sz w:val="24"/>
        </w:rPr>
        <w:t>Autor: Alrifaai Alrifaaie, Amaal</w:t>
        <w:br/>
      </w:r>
      <w:r>
        <w:rPr>
          <w:rFonts w:ascii="Times New Roman" w:hAnsi="Times New Roman"/>
          <w:sz w:val="24"/>
        </w:rPr>
        <w:t>C.I.: 31.985.792</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de manera oportuna los responsables, tiempos de respuesta y estatus de cada caso. El objetivo general fue evaluar el control administrativo aplicado a la gestión de solicitudes de servicios de telecomunicaciones, con el propósito de identificar sus debilidades y formular mejoras procedimentales. Para ello se realizaron observaciones directas, revisión de registros, entrevistas estructuradas al personal y un diagrama de causa-efecto para organizar los factores vinculados con las fallas detectadas. A partir de los hallazgos se formularon mejoras orientadas a establecer un flujo estandarizado, definir responsables por etapa, utilizar formatos uniformes y aplicar indicadores básicos para el seguimiento de las solicitudes. Como resultado, se determinó que la formalización del recorrido y la centralización de la información pueden facilitar la trazabilidad y reducir los reprocesos administrativos. Se concluye que el fortalecimiento del control depende principalmente de establecer criterios comunes de registro, actualización y cierre de los casos. Se recomienda implementar progresivamente el procedimiento propuesto, comunicarlo al personal involucrado y revisar periódicamente los tiempos de respuesta y solicitudes pendientes para detectar desviaciones y oportunidades de mejora.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control administrativo, solicitudes de servicio, trazabilidad, telecomunicaciones, pasantías</w:t>
      </w:r>
    </w:p>
    <w:p>
      <w:pPr>
        <w:sectPr>
          <w:footerReference w:type="default" r:id="rId42"/>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43"/>
          <w:footerReference w:type="first" r:id="rId44"/>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pPr>
        <w:keepNext/>
        <w:keepLines/>
        <w:spacing w:before="480"/>
        <w:jc w:val="center"/>
      </w:pPr>
      <w:r>
        <w:drawing>
          <wp:inline xmlns:a="http://schemas.openxmlformats.org/drawingml/2006/main" xmlns:pic="http://schemas.openxmlformats.org/drawingml/2006/picture">
            <wp:extent cx="1512000" cy="1512000"/>
            <wp:docPr id="4" name="Picture 4"/>
            <wp:cNvGraphicFramePr>
              <a:graphicFrameLocks noChangeAspect="1"/>
            </wp:cNvGraphicFramePr>
            <a:graphic>
              <a:graphicData uri="http://schemas.openxmlformats.org/drawingml/2006/picture">
                <pic:pic>
                  <pic:nvPicPr>
                    <pic:cNvPr id="0" name="logo.jpg"/>
                    <pic:cNvPicPr/>
                  </pic:nvPicPr>
                  <pic:blipFill>
                    <a:blip r:embed="rId12"/>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Ingeniería de Telecomunicaciones, C.A.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Ingeniería de Telecomunicaciones, C.A.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keepNext/>
        <w:keepLines/>
        <w:spacing w:before="480"/>
        <w:jc w:val="center"/>
      </w:pPr>
      <w:r>
        <w:drawing>
          <wp:inline xmlns:a="http://schemas.openxmlformats.org/drawingml/2006/main" xmlns:pic="http://schemas.openxmlformats.org/drawingml/2006/picture">
            <wp:extent cx="1800000" cy="1125000"/>
            <wp:docPr id="5" name="Picture 5"/>
            <wp:cNvGraphicFramePr>
              <a:graphicFrameLocks noChangeAspect="1"/>
            </wp:cNvGraphicFramePr>
            <a:graphic>
              <a:graphicData uri="http://schemas.openxmlformats.org/drawingml/2006/picture">
                <pic:pic>
                  <pic:nvPicPr>
                    <pic:cNvPr id="0" name="1.png"/>
                    <pic:cNvPicPr/>
                  </pic:nvPicPr>
                  <pic:blipFill>
                    <a:blip r:embed="rId13"/>
                    <a:stretch>
                      <a:fillRect/>
                    </a:stretch>
                  </pic:blipFill>
                  <pic:spPr>
                    <a:xfrm>
                      <a:off x="0" y="0"/>
                      <a:ext cx="1800000" cy="1125000"/>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Representación cartográfica y ubicación espacial de Ingeniería de Telecomunicaciones, C.A.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Google Maps (2026).</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 la empresa.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Empresa</w:t>
            </w:r>
          </w:p>
        </w:tc>
        <w:tc>
          <w:tcPr>
            <w:tcW w:type="dxa" w:w="2886"/>
          </w:tcPr>
          <w:p>
            <w:pPr>
              <w:spacing w:line="240" w:lineRule="auto" w:before="40" w:after="40"/>
              <w:jc w:val="left"/>
            </w:pPr>
            <w:r/>
            <w:r>
              <w:rPr>
                <w:rFonts w:ascii="Times New Roman" w:hAnsi="Times New Roman"/>
                <w:sz w:val="20"/>
              </w:rPr>
              <w:t>Personal activo en los cargos de la estructura organizativa</w:t>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8</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8</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Ingeniería de Telecomunicaciones, C.A. (2026).</w:t>
      </w:r>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w:t>
      </w:r>
      <w:bookmarkEnd w:id="23"/>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keepNext/>
        <w:keepLines/>
        <w:spacing w:before="480"/>
        <w:jc w:val="center"/>
      </w:pPr>
      <w:r>
        <w:drawing>
          <wp:inline xmlns:a="http://schemas.openxmlformats.org/drawingml/2006/main" xmlns:pic="http://schemas.openxmlformats.org/drawingml/2006/picture">
            <wp:extent cx="4320000" cy="1847904"/>
            <wp:docPr id="6" name="Picture 6"/>
            <wp:cNvGraphicFramePr>
              <a:graphicFrameLocks noChangeAspect="1"/>
            </wp:cNvGraphicFramePr>
            <a:graphic>
              <a:graphicData uri="http://schemas.openxmlformats.org/drawingml/2006/picture">
                <pic:pic>
                  <pic:nvPicPr>
                    <pic:cNvPr id="0" name="2.png"/>
                    <pic:cNvPicPr/>
                  </pic:nvPicPr>
                  <pic:blipFill>
                    <a:blip r:embed="rId14"/>
                    <a:stretch>
                      <a:fillRect/>
                    </a:stretch>
                  </pic:blipFill>
                  <pic:spPr>
                    <a:xfrm>
                      <a:off x="0" y="0"/>
                      <a:ext cx="4320000" cy="1847904"/>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Ingeniería de Telecomunicaciones, C.A.</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Ingeniería de Telecomunicaciones, C.A. (2026).</w:t>
      </w:r>
    </w:p>
    <w:p>
      <w:pPr>
        <w:keepNext/>
        <w:keepLines/>
        <w:spacing w:before="480"/>
        <w:jc w:val="center"/>
      </w:pPr>
      <w:r>
        <w:drawing>
          <wp:inline xmlns:a="http://schemas.openxmlformats.org/drawingml/2006/main" xmlns:pic="http://schemas.openxmlformats.org/drawingml/2006/picture">
            <wp:extent cx="4320000" cy="2680292"/>
            <wp:docPr id="7" name="Picture 7"/>
            <wp:cNvGraphicFramePr>
              <a:graphicFrameLocks noChangeAspect="1"/>
            </wp:cNvGraphicFramePr>
            <a:graphic>
              <a:graphicData uri="http://schemas.openxmlformats.org/drawingml/2006/picture">
                <pic:pic>
                  <pic:nvPicPr>
                    <pic:cNvPr id="0" name="3.png"/>
                    <pic:cNvPicPr/>
                  </pic:nvPicPr>
                  <pic:blipFill>
                    <a:blip r:embed="rId15"/>
                    <a:stretch>
                      <a:fillRect/>
                    </a:stretch>
                  </pic:blipFill>
                  <pic:spPr>
                    <a:xfrm>
                      <a:off x="0" y="0"/>
                      <a:ext cx="4320000" cy="2680292"/>
                    </a:xfrm>
                    <a:prstGeom prst="rect"/>
                  </pic:spPr>
                </pic:pic>
              </a:graphicData>
            </a:graphic>
          </wp:inline>
        </w:drawing>
      </w:r>
    </w:p>
    <w:p>
      <w:bookmarkStart w:id="25" w:name="bm_grafico4"/>
      <w:pPr>
        <w:keepNext/>
        <w:keepLines/>
        <w:spacing w:before="120" w:after="480"/>
        <w:jc w:val="center"/>
      </w:pPr>
      <w:r>
        <w:rPr>
          <w:rFonts w:ascii="Times New Roman" w:hAnsi="Times New Roman"/>
          <w:i/>
          <w:sz w:val="20"/>
        </w:rPr>
        <w:t xml:space="preserve">Gráfico 4. </w:t>
      </w:r>
      <w:r>
        <w:rPr>
          <w:rFonts w:ascii="Times New Roman" w:hAnsi="Times New Roman"/>
          <w:b/>
          <w:sz w:val="20"/>
        </w:rPr>
        <w:t>Organigrama del Departamento de Administración.</w:t>
      </w:r>
      <w:bookmarkEnd w:id="25"/>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Ingeniería de Telecomunicaciones, C.A. (2026).</w:t>
      </w:r>
    </w:p>
    <w:p>
      <w:bookmarkStart w:id="26"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6"/>
    </w:p>
    <w:p>
      <w:pPr>
        <w:spacing w:line="360" w:lineRule="auto" w:after="0" w:before="0"/>
        <w:ind w:firstLine="709"/>
        <w:jc w:val="both"/>
      </w:pPr>
      <w:r>
        <w:rPr>
          <w:rFonts w:ascii="Times New Roman" w:hAnsi="Times New Roman"/>
          <w:i w:val="0"/>
          <w:sz w:val="24"/>
        </w:rPr>
        <w:t>La pasantía se realizó en la Supervisión de Administración, donde se reconocen las funciones de Supervisión de Administración, Contabilidad y Tributos; Compras y Facturación; y Atención al Cliente. La práctica incluyó una rotación inicial por Atención al Cliente y una etapa posterior de apoyo en Administración, con actividades de registro de pagos, facturación, seguimiento de solicitudes y elaboración de reportes administrativos.</w:t>
      </w:r>
    </w:p>
    <w:p>
      <w:pPr>
        <w:sectPr>
          <w:footerReference w:type="default" r:id="rId45"/>
          <w:footerReference w:type="first" r:id="rId46"/>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w:t>
      </w:r>
    </w:p>
    <w:p>
      <w:bookmarkStart w:id="27" w:name="bm_cap2"/>
      <w:pPr>
        <w:pStyle w:val="IUTECPCapítulo"/>
        <w:spacing w:before="480"/>
        <w:jc w:val="center"/>
      </w:pPr>
      <w:r>
        <w:rPr>
          <w:rFonts w:ascii="Times New Roman" w:hAnsi="Times New Roman"/>
          <w:b/>
          <w:sz w:val="24"/>
        </w:rPr>
        <w:t>DIAGNÓSTICO SITUACIONAL</w:t>
      </w:r>
      <w:bookmarkEnd w:id="27"/>
    </w:p>
    <w:p>
      <w:bookmarkStart w:id="28" w:name="bm_cap2_sit"/>
      <w:pPr>
        <w:pStyle w:val="IUTECPTítulo2"/>
        <w:keepNext/>
        <w:keepLines/>
        <w:spacing w:before="480" w:after="480" w:line="360" w:lineRule="auto"/>
        <w:jc w:val="left"/>
      </w:pPr>
      <w:r>
        <w:rPr>
          <w:rFonts w:ascii="Times New Roman" w:hAnsi="Times New Roman"/>
          <w:b/>
          <w:sz w:val="24"/>
        </w:rPr>
        <w:t>Identificación de la Situación Problemática</w:t>
      </w:r>
      <w:bookmarkEnd w:id="28"/>
    </w:p>
    <w:p>
      <w:pPr>
        <w:pStyle w:val="IUTECPTítulo2"/>
        <w:keepNext/>
        <w:keepLines/>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pStyle w:val="IUTECPTítulo2"/>
        <w:keepNext/>
        <w:keepLines/>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pStyle w:val="IUTECPTítulo2"/>
        <w:keepNext/>
        <w:keepLines/>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pStyle w:val="IUTECPTítulo2"/>
        <w:keepNext/>
        <w:keepLines/>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pStyle w:val="IUTECPTítulo2"/>
        <w:keepNext/>
        <w:keepLines/>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evaluarse el control administrativo aplicado a la gestión de solicitudes de servicios de telecomunicaciones en IDETEL para identificar sus principales debilidades y formular mejoras procedimentales que fortalezcan la trazabilidad y el seguimiento de los casos?</w:t>
      </w:r>
    </w:p>
    <w:p>
      <w:bookmarkStart w:id="29" w:name="bm_cap2_objg"/>
      <w:pPr>
        <w:pStyle w:val="IUTECPTítulo2"/>
        <w:keepNext/>
        <w:keepLines/>
        <w:spacing w:before="480" w:after="480" w:line="360" w:lineRule="auto"/>
        <w:jc w:val="left"/>
      </w:pPr>
      <w:r>
        <w:rPr>
          <w:rFonts w:ascii="Times New Roman" w:hAnsi="Times New Roman"/>
          <w:b/>
          <w:sz w:val="24"/>
        </w:rPr>
        <w:t>Objetivo General</w:t>
      </w:r>
      <w:bookmarkEnd w:id="29"/>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30" w:name="bm_cap2_obje"/>
      <w:pPr>
        <w:pStyle w:val="IUTECPTítulo2"/>
        <w:keepNext/>
        <w:keepLines/>
        <w:spacing w:before="480" w:after="480" w:line="360" w:lineRule="auto"/>
        <w:jc w:val="left"/>
      </w:pPr>
      <w:r>
        <w:rPr>
          <w:rFonts w:ascii="Times New Roman" w:hAnsi="Times New Roman"/>
          <w:b/>
          <w:sz w:val="24"/>
        </w:rPr>
        <w:t>Objetivos Específicos</w:t>
      </w:r>
      <w:bookmarkEnd w:id="30"/>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y causas presentes en los mecanismos de control de las solicitudes de servicio, considerando su incidencia en los tiempos de respuesta, la trazabilidad de los casos y la atención al suscriptor.</w:t>
      </w:r>
    </w:p>
    <w:p>
      <w:pPr>
        <w:spacing w:line="360" w:lineRule="auto"/>
        <w:ind w:firstLine="709"/>
        <w:jc w:val="both"/>
      </w:pPr>
      <w:r>
        <w:rPr>
          <w:rFonts w:ascii="Times New Roman" w:hAnsi="Times New Roman"/>
          <w:sz w:val="24"/>
        </w:rPr>
        <w:t xml:space="preserve">3. </w:t>
      </w:r>
      <w:r>
        <w:rPr>
          <w:rFonts w:ascii="Times New Roman" w:hAnsi="Times New Roman"/>
          <w:sz w:val="24"/>
        </w:rPr>
        <w:t>Formular mejoras al control administrativo de las solicitudes mediante un flujo estandarizado, formatos de registro, responsables por etapa e indicadores básicos de seguimiento.</w:t>
      </w:r>
    </w:p>
    <w:p>
      <w:bookmarkStart w:id="31" w:name="bm_cap2_planif"/>
      <w:pPr>
        <w:pStyle w:val="IUTECPTítulo2"/>
        <w:keepNext/>
        <w:keepLines/>
        <w:spacing w:before="480" w:after="480" w:line="360" w:lineRule="auto"/>
        <w:jc w:val="left"/>
      </w:pPr>
      <w:r>
        <w:rPr>
          <w:rFonts w:ascii="Times New Roman" w:hAnsi="Times New Roman"/>
          <w:b/>
          <w:sz w:val="24"/>
        </w:rPr>
        <w:t>Planificación integral de objetivos</w:t>
      </w:r>
      <w:bookmarkEnd w:id="31"/>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32" w:name="bm_cuadro2"/>
      <w:pPr>
        <w:keepNext/>
        <w:keepLines/>
        <w:spacing w:before="480" w:after="240" w:line="360" w:lineRule="auto"/>
        <w:jc w:val="left"/>
      </w:pPr>
      <w:r>
        <w:rPr>
          <w:rFonts w:ascii="Times New Roman" w:hAnsi="Times New Roman"/>
          <w:b/>
          <w:sz w:val="20"/>
        </w:rPr>
        <w:t xml:space="preserve">Cuadro 2. </w:t>
      </w:r>
      <w:r>
        <w:rPr>
          <w:rFonts w:ascii="Times New Roman" w:hAnsi="Times New Roman"/>
          <w:i/>
          <w:sz w:val="20"/>
        </w:rPr>
        <w:t>Planificación integral de objetivos específicos.</w:t>
      </w:r>
      <w:bookmarkEnd w:id="32"/>
    </w:p>
    <w:tbl>
      <w:tblPr>
        <w:tblStyle w:val="TableGrid"/>
        <w:tblW w:type="auto" w:w="0"/>
        <w:tblLook w:firstColumn="1" w:firstRow="1" w:lastColumn="0" w:lastRow="0" w:noHBand="0" w:noVBand="1" w:val="04A0"/>
        <w:tblLayout w:type="fixed"/>
      </w:tblPr>
      <w:tblGrid>
        <w:gridCol w:w="1644"/>
        <w:gridCol w:w="1644"/>
        <w:gridCol w:w="1644"/>
        <w:gridCol w:w="1644"/>
        <w:gridCol w:w="1695"/>
      </w:tblGrid>
      <w:tr>
        <w:trPr>
          <w:tblHeader/>
        </w:trP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describir las etapas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y causas presentes en los mecanismos de control de las solicitudes de servicio, considerando su incidencia en los tiempos de respuesta, la trazabilidad de los casos y la atención al suscriptor.</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y causas que afectan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Aplicar entrevistas estructuradas al personal, revisar casos históricos, comparar tiempos de respuesta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comparación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reportes internos,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mejoras al control administrativo de las solicitudes mediante un flujo estandarizado, formatos de registro, responsables por etapa e indicadores básicos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
      <w:bookmarkStart w:id="33" w:name="bm_cap2_crono"/>
      <w:pPr>
        <w:pStyle w:val="IUTECPTítulo2"/>
        <w:keepNext/>
        <w:keepLines/>
        <w:spacing w:before="480" w:after="480" w:line="360" w:lineRule="auto"/>
        <w:jc w:val="left"/>
      </w:pPr>
      <w:r>
        <w:rPr>
          <w:rFonts w:ascii="Times New Roman" w:hAnsi="Times New Roman"/>
          <w:b/>
          <w:sz w:val="24"/>
        </w:rPr>
        <w:t>Cronograma de actividades</w:t>
      </w:r>
      <w:bookmarkEnd w:id="33"/>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34" w:name="bm_cuadro3"/>
      <w:pPr>
        <w:keepNext/>
        <w:keepLines/>
        <w:spacing w:before="480" w:after="240" w:line="360" w:lineRule="auto"/>
        <w:jc w:val="left"/>
      </w:pPr>
      <w:r>
        <w:rPr>
          <w:rFonts w:ascii="Times New Roman" w:hAnsi="Times New Roman"/>
          <w:b/>
          <w:sz w:val="20"/>
        </w:rPr>
        <w:t xml:space="preserve">Cuadro 3. </w:t>
      </w:r>
      <w:r>
        <w:rPr>
          <w:rFonts w:ascii="Times New Roman" w:hAnsi="Times New Roman"/>
          <w:i/>
          <w:sz w:val="20"/>
        </w:rPr>
        <w:t>Cronograma de actividades de la pasantía.</w:t>
      </w:r>
      <w:bookmarkEnd w:id="34"/>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567"/>
        <w:gridCol w:w="567"/>
      </w:tblGrid>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gridSpan w:val="2"/>
            <w:shd w:val="clear" w:color="auto" w:fill="4472C4"/>
          </w:tcPr>
          <w:p>
            <w:pPr>
              <w:spacing w:before="60" w:after="60" w:line="240" w:lineRule="auto"/>
              <w:jc w:val="center"/>
            </w:pPr>
            <w:r>
              <w:rPr>
                <w:rFonts w:ascii="Times New Roman" w:hAnsi="Times New Roman"/>
                <w:b/>
                <w:color w:val="FFFFFF"/>
                <w:sz w:val="20"/>
              </w:rPr>
              <w:t>AGOSTO</w:t>
            </w:r>
          </w:p>
        </w:tc>
      </w:tr>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67" w:type="dxa"/>
            <w:shd w:val="clear" w:color="auto" w:fill="4472C4"/>
          </w:tcPr>
          <w:p>
            <w:pPr>
              <w:spacing w:before="60" w:after="60" w:line="240" w:lineRule="auto"/>
              <w:jc w:val="center"/>
            </w:pPr>
            <w:r>
              <w:rPr>
                <w:rFonts w:ascii="Times New Roman" w:hAnsi="Times New Roman"/>
                <w:b/>
                <w:color w:val="FFFFFF"/>
                <w:sz w:val="20"/>
              </w:rPr>
              <w:t>1</w:t>
            </w:r>
          </w:p>
        </w:tc>
        <w:tc>
          <w:tcPr>
            <w:tcW w:w="567" w:type="dxa"/>
            <w:shd w:val="clear" w:color="auto" w:fill="4472C4"/>
          </w:tcPr>
          <w:p>
            <w:pPr>
              <w:spacing w:before="60" w:after="60" w:line="240" w:lineRule="auto"/>
              <w:jc w:val="center"/>
            </w:pPr>
            <w:r>
              <w:rPr>
                <w:rFonts w:ascii="Times New Roman" w:hAnsi="Times New Roman"/>
                <w:b/>
                <w:color w:val="FFFFFF"/>
                <w:sz w:val="20"/>
              </w:rPr>
              <w:t>2</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7"/>
          <w:footerReference w:type="first" r:id="rId48"/>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III</w:t>
      </w:r>
    </w:p>
    <w:p>
      <w:bookmarkStart w:id="35" w:name="bm_cap3"/>
      <w:pPr>
        <w:pStyle w:val="IUTECPCapítulo"/>
        <w:spacing w:before="480"/>
        <w:jc w:val="center"/>
      </w:pPr>
      <w:r>
        <w:rPr>
          <w:rFonts w:ascii="Times New Roman" w:hAnsi="Times New Roman"/>
          <w:b/>
          <w:sz w:val="24"/>
        </w:rPr>
        <w:t>MARCO TEÓRICO</w:t>
      </w:r>
      <w:bookmarkEnd w:id="35"/>
    </w:p>
    <w:p>
      <w:bookmarkStart w:id="36" w:name="bm_cap3_bases"/>
      <w:pPr>
        <w:pStyle w:val="IUTECPTítulo2"/>
        <w:keepNext/>
        <w:keepLines/>
        <w:spacing w:before="480" w:after="480" w:line="360" w:lineRule="auto"/>
        <w:jc w:val="left"/>
      </w:pPr>
      <w:r>
        <w:rPr>
          <w:rFonts w:ascii="Times New Roman" w:hAnsi="Times New Roman"/>
          <w:b/>
          <w:sz w:val="24"/>
        </w:rPr>
        <w:t>Control Administrativo</w:t>
      </w:r>
      <w:bookmarkEnd w:id="36"/>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pStyle w:val="IUTECPTítulo2"/>
        <w:keepNext/>
        <w:keepLines/>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pStyle w:val="IUTECPTítulo2"/>
        <w:keepNext/>
        <w:keepLines/>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pStyle w:val="IUTECPTítulo2"/>
        <w:keepNext/>
        <w:keepLines/>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En el contexto de estas pasantías, la calidad del servicio se relaciona directamente con la capacidad administrativa de IDETEL para responder y dar seguimiento oportuno a las solicitudes del suscriptor.</w:t>
      </w:r>
    </w:p>
    <w:p>
      <w:pPr>
        <w:pStyle w:val="IUTECPTítulo2"/>
        <w:keepNext/>
        <w:keepLines/>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pStyle w:val="IUTECPTítulo2"/>
        <w:keepNext/>
        <w:keepLines/>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porque reconoce el ejercicio de la actividad empresarial y permite ubicar la prestación de servicios de IDETEL dentro de una actividad económica sujeta al ordenamiento jurídico. Su relación con el informe se limita a este fundamento general y no establece por sí mismo el procedimiento administrativo de seguimiento de solicitudes.</w:t>
      </w:r>
    </w:p>
    <w:p>
      <w:pPr>
        <w:pStyle w:val="IUTECPTítulo2"/>
        <w:keepNext/>
        <w:keepLines/>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relacionado con la necesidad de conservar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el informe se encuentra en el principio de orden y claridad de las operaciones mercantiles. Los formatos y mecanismos de seguimiento propuestos no sustituyen los libros contables exigidos por la ley, pero complementan el control administrativo al organizar información asociada con solicitudes, pagos, facturación y seguimiento de casos.</w:t>
      </w:r>
    </w:p>
    <w:p>
      <w:pPr>
        <w:sectPr>
          <w:footerReference w:type="default" r:id="rId49"/>
          <w:footerReference w:type="first" r:id="rId50"/>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IV</w:t>
      </w:r>
    </w:p>
    <w:p>
      <w:bookmarkStart w:id="37" w:name="bm_cap4"/>
      <w:pPr>
        <w:pStyle w:val="IUTECPCapítulo"/>
        <w:spacing w:before="480"/>
        <w:jc w:val="center"/>
      </w:pPr>
      <w:r>
        <w:rPr>
          <w:rFonts w:ascii="Times New Roman" w:hAnsi="Times New Roman"/>
          <w:b/>
          <w:sz w:val="24"/>
        </w:rPr>
        <w:t>ACTIVIDADES REALIZADAS</w:t>
      </w:r>
      <w:bookmarkEnd w:id="37"/>
    </w:p>
    <w:p>
      <w:bookmarkStart w:id="38" w:name="bm_cap4_desc"/>
      <w:pPr>
        <w:pStyle w:val="IUTECPTítulo2"/>
        <w:keepNext/>
        <w:keepLines/>
        <w:spacing w:before="480" w:after="480" w:line="360" w:lineRule="auto"/>
        <w:jc w:val="left"/>
      </w:pPr>
      <w:r>
        <w:rPr>
          <w:rFonts w:ascii="Times New Roman" w:hAnsi="Times New Roman"/>
          <w:b/>
          <w:sz w:val="24"/>
        </w:rPr>
        <w:t>Descripción de Actividades Ejecutadas por Semana</w:t>
      </w:r>
      <w:bookmarkEnd w:id="38"/>
    </w:p>
    <w:p>
      <w:pPr>
        <w:spacing w:line="360" w:lineRule="auto" w:after="0" w:before="0"/>
        <w:ind w:firstLine="709"/>
        <w:jc w:val="both"/>
      </w:pPr>
      <w:r>
        <w:rPr>
          <w:rFonts w:ascii="Times New Roman" w:hAnsi="Times New Roman"/>
          <w:i w:val="0"/>
          <w:sz w:val="24"/>
        </w:rPr>
        <w:t>Durante las diez (10) semanas de pasantías se desarrollaron actividades operativas y de análisis mediante una rotación inicial por Atención al Cliente y una segunda etapa de apoyo en Administración. Algunas actividades y espacios observados se documentan en la memoria fotográfica incorporada como Anexo I:</w:t>
      </w:r>
    </w:p>
    <w:p>
      <w:pPr>
        <w:pStyle w:val="IUTECPTítulo2"/>
        <w:keepNext/>
        <w:keepLines/>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Observación directa del punto de inicio de las solicitudes de afiliación e incidencias, identificando los datos que se generan en Atención al Cliente y la forma en que son comunicados a otras áreas.</w:t>
      </w:r>
    </w:p>
    <w:p>
      <w:pPr>
        <w:pStyle w:val="IUTECPTítulo2"/>
        <w:keepNext/>
        <w:keepLines/>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Atención al Cliente mediante recepción y registro de pagos, verificación de datos básicos de suscriptores y orientación inicial sobre solicitudes e incidencias reportadas.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Levantamiento del recorrido de las solicitudes desde su recepción, revisión de registros disponibles y elaboración de un esquema preliminar de las etapas y áreas que intervienen en cada tipo de caso.</w:t>
      </w:r>
    </w:p>
    <w:p>
      <w:pPr>
        <w:pStyle w:val="IUTECPTítulo2"/>
        <w:keepNext/>
        <w:keepLines/>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Continuación del apoyo en Atención al Cliente, registro de pagos y solicitudes, actualización de información básica y seguimiento inicial de casos remitidos a otras áreas.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 una guía de entrevista estructurada y revisión del flujo observado para precisar los puntos donde se pierde continuidad o se dificulta conocer el estatus de las solicitudes.</w:t>
      </w:r>
    </w:p>
    <w:p>
      <w:pPr>
        <w:pStyle w:val="IUTECPTítulo2"/>
        <w:keepNext/>
        <w:keepLines/>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Inicio de la rotación por Administración con apoyo en procesamiento de pagos, facturación, revisión de documentación y seguimiento administrativo de solicitudes activas.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Aplicación de entrevistas estructuradas al personal vinculado con Administración, Atención al Cliente y áreas relacionadas, registrando las principales fallas percibidas en comunicación, control y seguimiento.</w:t>
      </w:r>
    </w:p>
    <w:p>
      <w:pPr>
        <w:pStyle w:val="IUTECPTítulo2"/>
        <w:keepNext/>
        <w:keepLines/>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tareas administrativas de facturación, actualización de registros y verificación del cierre de solicitudes e incidencias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Organización de los hallazgos del diagnóstico y elaboración del diagrama de Ishikawa para representar las causas relacionadas con procedimiento, comunicación, registro y seguimiento; inicio de la revisión de bases teóricas.</w:t>
      </w:r>
    </w:p>
    <w:p>
      <w:pPr>
        <w:pStyle w:val="IUTECPTítulo2"/>
        <w:keepNext/>
        <w:keepLines/>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de pagos y documentos administrativos, apoyo en facturación y elaboración de reportes básicos requeridos por la supervisión.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Análisis del impacto de las deficiencias identificadas sobre los tiempos de respuesta, la trazabilidad y la atención al suscriptor, complementando el desarrollo del marco teórico.</w:t>
      </w:r>
    </w:p>
    <w:p>
      <w:pPr>
        <w:pStyle w:val="IUTECPTítulo2"/>
        <w:keepNext/>
        <w:keepLines/>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seguimiento de casos, actualización de registros administrativos y organización de documentación vinculada con solicitudes de servicio.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del nuevo flujo estandarizado para la gestión de solicitudes, estableciendo etapas, responsables, tiempos de referencia y puntos de control desde la recepción hasta el cierre.</w:t>
      </w:r>
    </w:p>
    <w:p>
      <w:pPr>
        <w:pStyle w:val="IUTECPTítulo2"/>
        <w:keepNext/>
        <w:keepLines/>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facturación, seguimiento de incidencias y preparación de reportes administrativos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 formatos estandarizados para afiliaciones e incidencias y redacción del procedimiento de control que acompaña al flujo propuesto.</w:t>
      </w:r>
    </w:p>
    <w:p>
      <w:pPr>
        <w:pStyle w:val="IUTECPTítulo2"/>
        <w:keepNext/>
        <w:keepLines/>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 Administración y apoyo en el cierre y seguimiento de casos correspondientes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Redacción y validación de la propuesta de mejora con el tutor industrial, incorporación de observaciones y preparación del flujograma definitivo del proceso propuesto.</w:t>
      </w:r>
    </w:p>
    <w:p>
      <w:pPr>
        <w:pStyle w:val="IUTECPTítulo2"/>
        <w:keepNext/>
        <w:keepLines/>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 los resultados y de la propuesta ante la supervisión del área, gestión de los recaudos de cierre y organización final de la documentación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Consolidación del informe académico, revisión de la normativa IUTECP, incorporación de anexos y correcciones finales para la entrega institucional.</w:t>
      </w:r>
    </w:p>
    <w:p>
      <w:pPr>
        <w:sectPr>
          <w:footerReference w:type="default" r:id="rId51"/>
          <w:footerReference w:type="first" r:id="rId52"/>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V</w:t>
      </w:r>
    </w:p>
    <w:p>
      <w:bookmarkStart w:id="39" w:name="bm_cap5"/>
      <w:pPr>
        <w:pStyle w:val="IUTECPCapítulo"/>
        <w:spacing w:before="480"/>
        <w:jc w:val="center"/>
      </w:pPr>
      <w:r>
        <w:rPr>
          <w:rFonts w:ascii="Times New Roman" w:hAnsi="Times New Roman"/>
          <w:b/>
          <w:sz w:val="24"/>
        </w:rPr>
        <w:t>CONCLUSIONES Y RECOMENDACIONES</w:t>
      </w:r>
      <w:bookmarkEnd w:id="39"/>
    </w:p>
    <w:p>
      <w:bookmarkStart w:id="40" w:name="bm_cap5_concl"/>
      <w:pPr>
        <w:pStyle w:val="IUTECPTítulo2"/>
        <w:keepNext/>
        <w:keepLines/>
        <w:spacing w:before="480" w:after="480" w:line="360" w:lineRule="auto"/>
        <w:jc w:val="left"/>
      </w:pPr>
      <w:r>
        <w:rPr>
          <w:rFonts w:ascii="Times New Roman" w:hAnsi="Times New Roman"/>
          <w:b/>
          <w:sz w:val="24"/>
        </w:rPr>
        <w:t>Conclusiones</w:t>
      </w:r>
      <w:bookmarkEnd w:id="40"/>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gestión de solicitudes de IDETEL se inicia en Atención al Cliente y continúa hacia Administración y las áreas relacionadas, sin contar con un procedimiento único que establezca de forma visible el recorrido completo, los responsables y los criterios de cierre de cada caso.</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la falta de formatos uniformes, la actualización no centralizada del estatus, la ausencia de tiempos de referencia por etapa y las dificultades de comunicación entre las áreas; estas condiciones afectan la trazabilidad y pueden prolongar los tiempos de respuesta al suscriptor.</w:t>
      </w:r>
    </w:p>
    <w:p>
      <w:pPr>
        <w:spacing w:line="360" w:lineRule="auto"/>
        <w:ind w:firstLine="709"/>
        <w:jc w:val="both"/>
      </w:pPr>
      <w:r>
        <w:rPr>
          <w:rFonts w:ascii="Times New Roman" w:hAnsi="Times New Roman"/>
          <w:sz w:val="24"/>
        </w:rPr>
        <w:t xml:space="preserve">3. </w:t>
      </w:r>
      <w:r>
        <w:rPr>
          <w:rFonts w:ascii="Times New Roman" w:hAnsi="Times New Roman"/>
          <w:sz w:val="24"/>
        </w:rPr>
        <w:t>Se formularon mejoras al control administrativo mediante un flujo estandarizado, responsables por etapa, formatos de registro e indicadores básicos de seguimiento, orientados a facilitar la continuidad de la información y el control de las solicitudes desde su recepción hasta el cierre.</w:t>
      </w:r>
    </w:p>
    <w:p>
      <w:bookmarkStart w:id="41" w:name="bm_cap5_recom"/>
      <w:pPr>
        <w:pStyle w:val="IUTECPTítulo2"/>
        <w:keepNext/>
        <w:keepLines/>
        <w:spacing w:before="480" w:after="480" w:line="360" w:lineRule="auto"/>
        <w:jc w:val="left"/>
      </w:pPr>
      <w:r>
        <w:rPr>
          <w:rFonts w:ascii="Times New Roman" w:hAnsi="Times New Roman"/>
          <w:b/>
          <w:sz w:val="24"/>
        </w:rPr>
        <w:t>Recomendaciones</w:t>
      </w:r>
      <w:bookmarkEnd w:id="41"/>
    </w:p>
    <w:p>
      <w:pPr>
        <w:spacing w:line="360" w:lineRule="auto"/>
        <w:ind w:firstLine="709"/>
        <w:jc w:val="both"/>
      </w:pPr>
      <w:r>
        <w:rPr>
          <w:rFonts w:ascii="Times New Roman" w:hAnsi="Times New Roman"/>
          <w:sz w:val="24"/>
        </w:rPr>
        <w:t xml:space="preserve">1. </w:t>
      </w:r>
      <w:r>
        <w:rPr>
          <w:rFonts w:ascii="Times New Roman" w:hAnsi="Times New Roman"/>
          <w:sz w:val="24"/>
        </w:rPr>
        <w:t>Implementar progresivamente el flujo estandarizado propuesto y verificar su funcionamiento con un grupo controlado de solicitudes antes de aplicarlo a todos los casos.</w:t>
      </w:r>
    </w:p>
    <w:p>
      <w:pPr>
        <w:spacing w:line="360" w:lineRule="auto"/>
        <w:ind w:firstLine="709"/>
        <w:jc w:val="both"/>
      </w:pPr>
      <w:r>
        <w:rPr>
          <w:rFonts w:ascii="Times New Roman" w:hAnsi="Times New Roman"/>
          <w:sz w:val="24"/>
        </w:rPr>
        <w:t xml:space="preserve">2. </w:t>
      </w:r>
      <w:r>
        <w:rPr>
          <w:rFonts w:ascii="Times New Roman" w:hAnsi="Times New Roman"/>
          <w:sz w:val="24"/>
        </w:rPr>
        <w:t>Utilizar de manera uniforme los formatos de registro de afiliaciones e incidencias y definir claramente el responsable de actualizar el estatus en cada etapa.</w:t>
      </w:r>
    </w:p>
    <w:p>
      <w:pPr>
        <w:spacing w:line="360" w:lineRule="auto"/>
        <w:ind w:firstLine="709"/>
        <w:jc w:val="both"/>
      </w:pPr>
      <w:r>
        <w:rPr>
          <w:rFonts w:ascii="Times New Roman" w:hAnsi="Times New Roman"/>
          <w:sz w:val="24"/>
        </w:rPr>
        <w:t xml:space="preserve">3. </w:t>
      </w:r>
      <w:r>
        <w:rPr>
          <w:rFonts w:ascii="Times New Roman" w:hAnsi="Times New Roman"/>
          <w:sz w:val="24"/>
        </w:rPr>
        <w:t>Registrar y revisar periódicamente tiempos de respuesta, solicitudes pendientes y casos cerrados para identificar retrasos recurrentes y aplicar acciones correctivas.</w:t>
      </w:r>
    </w:p>
    <w:p>
      <w:pPr>
        <w:spacing w:line="360" w:lineRule="auto"/>
        <w:ind w:firstLine="709"/>
        <w:jc w:val="both"/>
      </w:pPr>
      <w:r>
        <w:rPr>
          <w:rFonts w:ascii="Times New Roman" w:hAnsi="Times New Roman"/>
          <w:sz w:val="24"/>
        </w:rPr>
        <w:t xml:space="preserve">4. </w:t>
      </w:r>
      <w:r>
        <w:rPr>
          <w:rFonts w:ascii="Times New Roman" w:hAnsi="Times New Roman"/>
          <w:sz w:val="24"/>
        </w:rPr>
        <w:t>Evaluar posteriormente una herramienta digital centralizada de seguimiento cuando el procedimiento administrativo ya se encuentre formalizado y validado por las áreas involucradas.</w:t>
      </w:r>
    </w:p>
    <w:p>
      <w:pPr>
        <w:sectPr>
          <w:footerReference w:type="default" r:id="rId53"/>
          <w:footerReference w:type="first" r:id="rId54"/>
          <w:pgSz w:w="12240" w:h="15840"/>
          <w:pgMar w:top="1701" w:right="1701" w:bottom="1701" w:left="2268" w:header="720" w:footer="720" w:gutter="0"/>
          <w:cols w:space="720"/>
          <w:titlePg/>
          <w:docGrid w:linePitch="360"/>
          <w:pgNumType w:fmt="decimal"/>
        </w:sectPr>
      </w:pPr>
    </w:p>
    <w:p>
      <w:bookmarkStart w:id="42" w:name="bm_referencias"/>
      <w:pPr>
        <w:pStyle w:val="IUTECPPreliminar"/>
        <w:keepNext/>
        <w:keepLines/>
        <w:spacing w:before="1140" w:after="480"/>
        <w:jc w:val="center"/>
      </w:pPr>
      <w:r>
        <w:rPr>
          <w:rFonts w:ascii="Times New Roman" w:hAnsi="Times New Roman"/>
          <w:b/>
          <w:sz w:val="24"/>
        </w:rPr>
        <w:t>REFERENCIAS</w:t>
      </w:r>
      <w:bookmarkEnd w:id="42"/>
    </w:p>
    <w:p>
      <w:pPr>
        <w:spacing w:before="480" w:after="0"/>
      </w:pPr>
    </w:p>
    <w:p>
      <w:pPr>
        <w:spacing w:line="240" w:lineRule="auto" w:after="480" w:before="0"/>
        <w:ind w:left="425" w:hanging="425"/>
        <w:jc w:val="both"/>
      </w:pPr>
      <w:r>
        <w:rPr>
          <w:rFonts w:ascii="Times New Roman" w:hAnsi="Times New Roman"/>
          <w:b w:val="0"/>
          <w:sz w:val="24"/>
        </w:rPr>
        <w:t xml:space="preserve">Asamblea Nacional Constituyente. (1999). </w:t>
      </w:r>
      <w:r>
        <w:rPr>
          <w:rFonts w:ascii="Times New Roman" w:hAnsi="Times New Roman"/>
          <w:b/>
          <w:sz w:val="24"/>
        </w:rPr>
        <w:t>Constitución de la República Bolivariana de Venezuela</w:t>
      </w:r>
      <w:r>
        <w:rPr>
          <w:rFonts w:ascii="Times New Roman" w:hAnsi="Times New Roman"/>
          <w:b w:val="0"/>
          <w:sz w:val="24"/>
        </w:rPr>
        <w:t>. Gaceta Oficial de la República Bolivariana de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Congreso de la República de Venezuela. (1955). </w:t>
      </w:r>
      <w:r>
        <w:rPr>
          <w:rFonts w:ascii="Times New Roman" w:hAnsi="Times New Roman"/>
          <w:b/>
          <w:sz w:val="24"/>
        </w:rPr>
        <w:t>Código de Comercio</w:t>
      </w:r>
      <w:r>
        <w:rPr>
          <w:rFonts w:ascii="Times New Roman" w:hAnsi="Times New Roman"/>
          <w:b w:val="0"/>
          <w:sz w:val="24"/>
        </w:rPr>
        <w:t>. Gaceta Oficial Extraordinaria N.º 475.</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Parasuraman, A., Zeithaml, V., y Berry, L. (1988). </w:t>
      </w:r>
      <w:r>
        <w:rPr>
          <w:rFonts w:ascii="Times New Roman" w:hAnsi="Times New Roman"/>
          <w:b/>
          <w:sz w:val="24"/>
        </w:rPr>
        <w:t>SERVQUAL: A multiple-item scale for measuring consumer perceptions of service quality</w:t>
      </w:r>
      <w:r>
        <w:rPr>
          <w:rFonts w:ascii="Times New Roman" w:hAnsi="Times New Roman"/>
          <w:b w:val="0"/>
          <w:sz w:val="24"/>
        </w:rPr>
        <w:t>. Journal of Retailing, 64(1), 12-40.</w:t>
      </w:r>
    </w:p>
    <w:p>
      <w:pPr>
        <w:spacing w:line="240" w:lineRule="auto" w:after="480" w:before="0"/>
        <w:ind w:left="425" w:hanging="425"/>
        <w:jc w:val="both"/>
      </w:pPr>
      <w:r>
        <w:rPr>
          <w:rFonts w:ascii="Times New Roman" w:hAnsi="Times New Roman"/>
          <w:b w:val="0"/>
          <w:sz w:val="24"/>
        </w:rPr>
        <w:t xml:space="preserve">Robbins, S., y Coulter, M. (2010). </w:t>
      </w:r>
      <w:r>
        <w:rPr>
          <w:rFonts w:ascii="Times New Roman" w:hAnsi="Times New Roman"/>
          <w:b/>
          <w:sz w:val="24"/>
        </w:rPr>
        <w:t>Administración (10ma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Zeithaml, V., Parasuraman, A., y Berry, L. (1993). </w:t>
      </w:r>
      <w:r>
        <w:rPr>
          <w:rFonts w:ascii="Times New Roman" w:hAnsi="Times New Roman"/>
          <w:b/>
          <w:sz w:val="24"/>
        </w:rPr>
        <w:t>Calidad total en la gestión de servicios</w:t>
      </w:r>
      <w:r>
        <w:rPr>
          <w:rFonts w:ascii="Times New Roman" w:hAnsi="Times New Roman"/>
          <w:b w:val="0"/>
          <w:sz w:val="24"/>
        </w:rPr>
        <w:t>. Díaz de Santos, España.</w:t>
      </w:r>
    </w:p>
    <w:p>
      <w:pPr>
        <w:sectPr>
          <w:footerReference w:type="default" r:id="rId55"/>
          <w:footerReference w:type="first" r:id="rId56"/>
          <w:pgSz w:w="12240" w:h="15840"/>
          <w:pgMar w:top="1701" w:right="1701" w:bottom="1701" w:left="2268" w:header="720" w:footer="720" w:gutter="0"/>
          <w:cols w:space="720"/>
          <w:titlePg/>
          <w:docGrid w:linePitch="360"/>
          <w:pgNumType w:fmt="decimal"/>
        </w:sectPr>
      </w:pPr>
    </w:p>
    <w:p>
      <w:bookmarkStart w:id="43" w:name="bm_anexos"/>
      <w:pPr>
        <w:spacing w:before="6075"/>
        <w:jc w:val="center"/>
      </w:pPr>
      <w:r>
        <w:rPr>
          <w:rFonts w:ascii="Times New Roman" w:hAnsi="Times New Roman"/>
          <w:b/>
          <w:sz w:val="24"/>
        </w:rPr>
        <w:t>ANEXOS</w:t>
      </w:r>
      <w:bookmarkEnd w:id="43"/>
    </w:p>
    <w:p>
      <w:pPr>
        <w:sectPr>
          <w:footerReference w:type="default" r:id="rId57"/>
          <w:pgSz w:w="12240" w:h="15840"/>
          <w:pgMar w:top="1701" w:right="1701" w:bottom="1701" w:left="2268" w:header="720" w:footer="720" w:gutter="0"/>
          <w:cols w:space="720"/>
          <w:docGrid w:linePitch="360"/>
          <w:pgNumType w:fmt="decimal"/>
        </w:sectPr>
      </w:pPr>
    </w:p>
    <w:p>
      <w:bookmarkStart w:id="44" w:name="bm_anexoA"/>
      <w:pPr>
        <w:keepNext/>
        <w:keepLines/>
        <w:spacing w:before="0" w:after="480"/>
        <w:jc w:val="center"/>
      </w:pPr>
      <w:bookmarkEnd w:id="44"/>
      <w:r>
        <w:rPr>
          <w:rFonts w:ascii="Times New Roman" w:hAnsi="Times New Roman"/>
          <w:b/>
          <w:sz w:val="20"/>
        </w:rPr>
        <w:t>ANEXO A</w:t>
      </w:r>
    </w:p>
    <w:p>
      <w:pPr>
        <w:keepNext/>
        <w:keepLines/>
        <w:spacing w:before="240" w:after="480"/>
        <w:jc w:val="center"/>
      </w:pPr>
      <w:r>
        <w:rPr>
          <w:rFonts w:ascii="Times New Roman" w:hAnsi="Times New Roman"/>
          <w:b/>
          <w:sz w:val="20"/>
        </w:rPr>
        <w:t>[Flujograma del proceso propuesto de gestión de solicitudes de servicios]</w:t>
      </w:r>
    </w:p>
    <w:p>
      <w:pPr>
        <w:keepNext/>
        <w:keepLines/>
        <w:jc w:val="center"/>
      </w:pPr>
      <w:r>
        <w:drawing>
          <wp:inline xmlns:a="http://schemas.openxmlformats.org/drawingml/2006/main" xmlns:pic="http://schemas.openxmlformats.org/drawingml/2006/picture">
            <wp:extent cx="1065395" cy="4860000"/>
            <wp:docPr id="8" name="Picture 8"/>
            <wp:cNvGraphicFramePr>
              <a:graphicFrameLocks noChangeAspect="1"/>
            </wp:cNvGraphicFramePr>
            <a:graphic>
              <a:graphicData uri="http://schemas.openxmlformats.org/drawingml/2006/picture">
                <pic:pic>
                  <pic:nvPicPr>
                    <pic:cNvPr id="0" name="4.png"/>
                    <pic:cNvPicPr/>
                  </pic:nvPicPr>
                  <pic:blipFill>
                    <a:blip r:embed="rId16"/>
                    <a:stretch>
                      <a:fillRect/>
                    </a:stretch>
                  </pic:blipFill>
                  <pic:spPr>
                    <a:xfrm>
                      <a:off x="0" y="0"/>
                      <a:ext cx="1065395" cy="486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8"/>
          <w:pgSz w:w="12240" w:h="15840"/>
          <w:pgMar w:top="1701" w:right="1701" w:bottom="1701" w:left="2268" w:header="720" w:footer="720" w:gutter="0"/>
          <w:cols w:space="720"/>
          <w:docGrid w:linePitch="360"/>
          <w:pgNumType w:fmt="decimal"/>
        </w:sectPr>
      </w:pPr>
    </w:p>
    <w:p>
      <w:bookmarkStart w:id="45" w:name="bm_anexoB"/>
      <w:pPr>
        <w:keepNext/>
        <w:keepLines/>
        <w:spacing w:before="0" w:after="480"/>
        <w:jc w:val="center"/>
      </w:pPr>
      <w:bookmarkEnd w:id="45"/>
      <w:r>
        <w:rPr>
          <w:rFonts w:ascii="Times New Roman" w:hAnsi="Times New Roman"/>
          <w:b/>
          <w:sz w:val="20"/>
        </w:rPr>
        <w:t>ANEXO B</w:t>
      </w:r>
    </w:p>
    <w:p>
      <w:pPr>
        <w:keepNext/>
        <w:keepLines/>
        <w:spacing w:before="240" w:after="480"/>
        <w:jc w:val="center"/>
      </w:pPr>
      <w:r>
        <w:rPr>
          <w:rFonts w:ascii="Times New Roman" w:hAnsi="Times New Roman"/>
          <w:b/>
          <w:sz w:val="20"/>
        </w:rPr>
        <w:t>[Diagrama de Ishikawa del control de solicitudes]</w:t>
      </w:r>
    </w:p>
    <w:p>
      <w:pPr>
        <w:keepNext/>
        <w:keepLines/>
        <w:jc w:val="center"/>
      </w:pPr>
      <w:r>
        <w:drawing>
          <wp:inline xmlns:a="http://schemas.openxmlformats.org/drawingml/2006/main" xmlns:pic="http://schemas.openxmlformats.org/drawingml/2006/picture">
            <wp:extent cx="4679999" cy="1208317"/>
            <wp:docPr id="9" name="Picture 9"/>
            <wp:cNvGraphicFramePr>
              <a:graphicFrameLocks noChangeAspect="1"/>
            </wp:cNvGraphicFramePr>
            <a:graphic>
              <a:graphicData uri="http://schemas.openxmlformats.org/drawingml/2006/picture">
                <pic:pic>
                  <pic:nvPicPr>
                    <pic:cNvPr id="0" name="01_ishikawa_control_solicitudes.png"/>
                    <pic:cNvPicPr/>
                  </pic:nvPicPr>
                  <pic:blipFill>
                    <a:blip r:embed="rId17"/>
                    <a:stretch>
                      <a:fillRect/>
                    </a:stretch>
                  </pic:blipFill>
                  <pic:spPr>
                    <a:xfrm>
                      <a:off x="0" y="0"/>
                      <a:ext cx="4679999" cy="120831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9"/>
          <w:pgSz w:w="12240" w:h="15840"/>
          <w:pgMar w:top="1701" w:right="1701" w:bottom="1701" w:left="2268" w:header="720" w:footer="720" w:gutter="0"/>
          <w:cols w:space="720"/>
          <w:docGrid w:linePitch="360"/>
          <w:pgNumType w:fmt="decimal"/>
        </w:sectPr>
      </w:pPr>
    </w:p>
    <w:p>
      <w:bookmarkStart w:id="46" w:name="bm_anexoC"/>
      <w:pPr>
        <w:keepNext/>
        <w:keepLines/>
        <w:spacing w:before="0" w:after="480"/>
        <w:jc w:val="center"/>
      </w:pPr>
      <w:bookmarkEnd w:id="46"/>
      <w:r>
        <w:rPr>
          <w:rFonts w:ascii="Times New Roman" w:hAnsi="Times New Roman"/>
          <w:b/>
          <w:sz w:val="20"/>
        </w:rPr>
        <w:t>ANEXO C</w:t>
      </w:r>
    </w:p>
    <w:p>
      <w:pPr>
        <w:keepNext/>
        <w:keepLines/>
        <w:spacing w:before="240" w:after="480"/>
        <w:jc w:val="center"/>
      </w:pPr>
      <w:r>
        <w:rPr>
          <w:rFonts w:ascii="Times New Roman" w:hAnsi="Times New Roman"/>
          <w:b/>
          <w:sz w:val="20"/>
        </w:rPr>
        <w:t>[Flujograma AS-IS de afiliaciones e incidencias]</w:t>
      </w:r>
    </w:p>
    <w:p>
      <w:pPr>
        <w:keepNext/>
        <w:keepLines/>
        <w:jc w:val="center"/>
      </w:pPr>
      <w:r>
        <w:drawing>
          <wp:inline xmlns:a="http://schemas.openxmlformats.org/drawingml/2006/main" xmlns:pic="http://schemas.openxmlformats.org/drawingml/2006/picture">
            <wp:extent cx="2550866" cy="5400000"/>
            <wp:docPr id="10" name="Picture 10"/>
            <wp:cNvGraphicFramePr>
              <a:graphicFrameLocks noChangeAspect="1"/>
            </wp:cNvGraphicFramePr>
            <a:graphic>
              <a:graphicData uri="http://schemas.openxmlformats.org/drawingml/2006/picture">
                <pic:pic>
                  <pic:nvPicPr>
                    <pic:cNvPr id="0" name="02_flujo_as_is_solicitudes.png"/>
                    <pic:cNvPicPr/>
                  </pic:nvPicPr>
                  <pic:blipFill>
                    <a:blip r:embed="rId18"/>
                    <a:stretch>
                      <a:fillRect/>
                    </a:stretch>
                  </pic:blipFill>
                  <pic:spPr>
                    <a:xfrm>
                      <a:off x="0" y="0"/>
                      <a:ext cx="2550866"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0"/>
          <w:pgSz w:w="12240" w:h="15840"/>
          <w:pgMar w:top="1701" w:right="1701" w:bottom="1701" w:left="2268" w:header="720" w:footer="720" w:gutter="0"/>
          <w:cols w:space="720"/>
          <w:docGrid w:linePitch="360"/>
          <w:pgNumType w:fmt="decimal"/>
        </w:sectPr>
      </w:pPr>
    </w:p>
    <w:p>
      <w:bookmarkStart w:id="47" w:name="bm_anexoD"/>
      <w:pPr>
        <w:keepNext/>
        <w:keepLines/>
        <w:spacing w:before="0" w:after="480"/>
        <w:jc w:val="center"/>
      </w:pPr>
      <w:bookmarkEnd w:id="47"/>
      <w:r>
        <w:rPr>
          <w:rFonts w:ascii="Times New Roman" w:hAnsi="Times New Roman"/>
          <w:b/>
          <w:sz w:val="20"/>
        </w:rPr>
        <w:t>ANEXO D</w:t>
      </w:r>
    </w:p>
    <w:p>
      <w:pPr>
        <w:keepNext/>
        <w:keepLines/>
        <w:spacing w:before="240" w:after="480"/>
        <w:jc w:val="center"/>
      </w:pPr>
      <w:r>
        <w:rPr>
          <w:rFonts w:ascii="Times New Roman" w:hAnsi="Times New Roman"/>
          <w:b/>
          <w:sz w:val="20"/>
        </w:rPr>
        <w:t>[Swimlane interdepartamental de gestión de solicitudes]</w:t>
      </w:r>
    </w:p>
    <w:p>
      <w:pPr>
        <w:keepNext/>
        <w:keepLines/>
        <w:jc w:val="center"/>
      </w:pPr>
      <w:r>
        <w:drawing>
          <wp:inline xmlns:a="http://schemas.openxmlformats.org/drawingml/2006/main" xmlns:pic="http://schemas.openxmlformats.org/drawingml/2006/picture">
            <wp:extent cx="5040000" cy="2942538"/>
            <wp:docPr id="11" name="Picture 11"/>
            <wp:cNvGraphicFramePr>
              <a:graphicFrameLocks noChangeAspect="1"/>
            </wp:cNvGraphicFramePr>
            <a:graphic>
              <a:graphicData uri="http://schemas.openxmlformats.org/drawingml/2006/picture">
                <pic:pic>
                  <pic:nvPicPr>
                    <pic:cNvPr id="0" name="04_swimlane_gestion_solicitudes.png"/>
                    <pic:cNvPicPr/>
                  </pic:nvPicPr>
                  <pic:blipFill>
                    <a:blip r:embed="rId19"/>
                    <a:stretch>
                      <a:fillRect/>
                    </a:stretch>
                  </pic:blipFill>
                  <pic:spPr>
                    <a:xfrm>
                      <a:off x="0" y="0"/>
                      <a:ext cx="5040000" cy="2942538"/>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1"/>
          <w:pgSz w:w="12240" w:h="15840"/>
          <w:pgMar w:top="1701" w:right="1701" w:bottom="1701" w:left="2268" w:header="720" w:footer="720" w:gutter="0"/>
          <w:cols w:space="720"/>
          <w:docGrid w:linePitch="360"/>
          <w:pgNumType w:fmt="decimal"/>
        </w:sectPr>
      </w:pPr>
    </w:p>
    <w:p>
      <w:bookmarkStart w:id="48" w:name="bm_anexoE"/>
      <w:pPr>
        <w:keepNext/>
        <w:keepLines/>
        <w:spacing w:before="0" w:after="480"/>
        <w:jc w:val="center"/>
      </w:pPr>
      <w:bookmarkEnd w:id="48"/>
      <w:r>
        <w:rPr>
          <w:rFonts w:ascii="Times New Roman" w:hAnsi="Times New Roman"/>
          <w:b/>
          <w:sz w:val="20"/>
        </w:rPr>
        <w:t>ANEXO E</w:t>
      </w:r>
    </w:p>
    <w:p>
      <w:pPr>
        <w:keepNext/>
        <w:keepLines/>
        <w:spacing w:before="240" w:after="480"/>
        <w:jc w:val="center"/>
      </w:pPr>
      <w:r>
        <w:rPr>
          <w:rFonts w:ascii="Times New Roman" w:hAnsi="Times New Roman"/>
          <w:b/>
          <w:sz w:val="20"/>
        </w:rPr>
        <w:t>[Estados de una solicitud de servicio]</w:t>
      </w:r>
    </w:p>
    <w:p>
      <w:pPr>
        <w:keepNext/>
        <w:keepLines/>
        <w:jc w:val="center"/>
      </w:pPr>
      <w:r>
        <w:drawing>
          <wp:inline xmlns:a="http://schemas.openxmlformats.org/drawingml/2006/main" xmlns:pic="http://schemas.openxmlformats.org/drawingml/2006/picture">
            <wp:extent cx="4680000" cy="2220000"/>
            <wp:docPr id="12" name="Picture 12"/>
            <wp:cNvGraphicFramePr>
              <a:graphicFrameLocks noChangeAspect="1"/>
            </wp:cNvGraphicFramePr>
            <a:graphic>
              <a:graphicData uri="http://schemas.openxmlformats.org/drawingml/2006/picture">
                <pic:pic>
                  <pic:nvPicPr>
                    <pic:cNvPr id="0" name="05_estados_solicitud.png"/>
                    <pic:cNvPicPr/>
                  </pic:nvPicPr>
                  <pic:blipFill>
                    <a:blip r:embed="rId20"/>
                    <a:stretch>
                      <a:fillRect/>
                    </a:stretch>
                  </pic:blipFill>
                  <pic:spPr>
                    <a:xfrm>
                      <a:off x="0" y="0"/>
                      <a:ext cx="4680000" cy="222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2"/>
          <w:pgSz w:w="12240" w:h="15840"/>
          <w:pgMar w:top="1701" w:right="1701" w:bottom="1701" w:left="2268" w:header="720" w:footer="720" w:gutter="0"/>
          <w:cols w:space="720"/>
          <w:docGrid w:linePitch="360"/>
          <w:pgNumType w:fmt="decimal"/>
        </w:sectPr>
      </w:pPr>
    </w:p>
    <w:p>
      <w:bookmarkStart w:id="49" w:name="bm_anexoF"/>
      <w:pPr>
        <w:keepNext/>
        <w:keepLines/>
        <w:spacing w:before="0" w:after="480"/>
        <w:jc w:val="center"/>
      </w:pPr>
      <w:bookmarkEnd w:id="49"/>
      <w:r>
        <w:rPr>
          <w:rFonts w:ascii="Times New Roman" w:hAnsi="Times New Roman"/>
          <w:b/>
          <w:sz w:val="20"/>
        </w:rPr>
        <w:t>ANEXO F</w:t>
      </w:r>
    </w:p>
    <w:p>
      <w:pPr>
        <w:keepNext/>
        <w:keepLines/>
        <w:spacing w:before="240" w:after="480"/>
        <w:jc w:val="center"/>
      </w:pPr>
      <w:r>
        <w:rPr>
          <w:rFonts w:ascii="Times New Roman" w:hAnsi="Times New Roman"/>
          <w:b/>
          <w:sz w:val="20"/>
        </w:rPr>
        <w:t>[Comunicación interdepartamental]</w:t>
      </w:r>
    </w:p>
    <w:p>
      <w:pPr>
        <w:keepNext/>
        <w:keepLines/>
        <w:jc w:val="center"/>
      </w:pPr>
      <w:r>
        <w:drawing>
          <wp:inline xmlns:a="http://schemas.openxmlformats.org/drawingml/2006/main" xmlns:pic="http://schemas.openxmlformats.org/drawingml/2006/picture">
            <wp:extent cx="3652060" cy="4680000"/>
            <wp:docPr id="13" name="Picture 13"/>
            <wp:cNvGraphicFramePr>
              <a:graphicFrameLocks noChangeAspect="1"/>
            </wp:cNvGraphicFramePr>
            <a:graphic>
              <a:graphicData uri="http://schemas.openxmlformats.org/drawingml/2006/picture">
                <pic:pic>
                  <pic:nvPicPr>
                    <pic:cNvPr id="0" name="10_comunicacion_interdepartamental.png"/>
                    <pic:cNvPicPr/>
                  </pic:nvPicPr>
                  <pic:blipFill>
                    <a:blip r:embed="rId21"/>
                    <a:stretch>
                      <a:fillRect/>
                    </a:stretch>
                  </pic:blipFill>
                  <pic:spPr>
                    <a:xfrm>
                      <a:off x="0" y="0"/>
                      <a:ext cx="3652060" cy="468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3"/>
          <w:pgSz w:w="12240" w:h="15840"/>
          <w:pgMar w:top="1701" w:right="1701" w:bottom="1701" w:left="2268" w:header="720" w:footer="720" w:gutter="0"/>
          <w:cols w:space="720"/>
          <w:docGrid w:linePitch="360"/>
          <w:pgNumType w:fmt="decimal"/>
        </w:sectPr>
      </w:pPr>
    </w:p>
    <w:p>
      <w:bookmarkStart w:id="50" w:name="bm_anexoG"/>
      <w:pPr>
        <w:keepNext/>
        <w:keepLines/>
        <w:spacing w:before="0" w:after="480"/>
        <w:jc w:val="center"/>
      </w:pPr>
      <w:bookmarkEnd w:id="50"/>
      <w:r>
        <w:rPr>
          <w:rFonts w:ascii="Times New Roman" w:hAnsi="Times New Roman"/>
          <w:b/>
          <w:sz w:val="20"/>
        </w:rPr>
        <w:t>ANEXO G</w:t>
      </w:r>
    </w:p>
    <w:p>
      <w:pPr>
        <w:keepNext/>
        <w:keepLines/>
        <w:spacing w:before="240" w:after="480"/>
        <w:jc w:val="center"/>
      </w:pPr>
      <w:r>
        <w:rPr>
          <w:rFonts w:ascii="Times New Roman" w:hAnsi="Times New Roman"/>
          <w:b/>
          <w:sz w:val="20"/>
        </w:rPr>
        <w:t>[Comparación AS-IS y TO-BE del control de solicitudes]</w:t>
      </w:r>
    </w:p>
    <w:p>
      <w:pPr>
        <w:keepNext/>
        <w:keepLines/>
        <w:jc w:val="center"/>
      </w:pPr>
      <w:r>
        <w:drawing>
          <wp:inline xmlns:a="http://schemas.openxmlformats.org/drawingml/2006/main" xmlns:pic="http://schemas.openxmlformats.org/drawingml/2006/picture">
            <wp:extent cx="4680000" cy="4680000"/>
            <wp:docPr id="14" name="Picture 14"/>
            <wp:cNvGraphicFramePr>
              <a:graphicFrameLocks noChangeAspect="1"/>
            </wp:cNvGraphicFramePr>
            <a:graphic>
              <a:graphicData uri="http://schemas.openxmlformats.org/drawingml/2006/picture">
                <pic:pic>
                  <pic:nvPicPr>
                    <pic:cNvPr id="0" name="11_comparacion_as_is_to_be.png"/>
                    <pic:cNvPicPr/>
                  </pic:nvPicPr>
                  <pic:blipFill>
                    <a:blip r:embed="rId22"/>
                    <a:stretch>
                      <a:fillRect/>
                    </a:stretch>
                  </pic:blipFill>
                  <pic:spPr>
                    <a:xfrm>
                      <a:off x="0" y="0"/>
                      <a:ext cx="4680000" cy="468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4"/>
          <w:pgSz w:w="12240" w:h="15840"/>
          <w:pgMar w:top="1701" w:right="1701" w:bottom="1701" w:left="2268" w:header="720" w:footer="720" w:gutter="0"/>
          <w:cols w:space="720"/>
          <w:docGrid w:linePitch="360"/>
          <w:pgNumType w:fmt="decimal"/>
        </w:sectPr>
      </w:pPr>
    </w:p>
    <w:p>
      <w:bookmarkStart w:id="51" w:name="bm_anexoH"/>
      <w:pPr>
        <w:keepNext/>
        <w:keepLines/>
        <w:spacing w:before="0" w:after="480"/>
        <w:jc w:val="center"/>
      </w:pPr>
      <w:bookmarkEnd w:id="51"/>
      <w:r>
        <w:rPr>
          <w:rFonts w:ascii="Times New Roman" w:hAnsi="Times New Roman"/>
          <w:b/>
          <w:sz w:val="20"/>
        </w:rPr>
        <w:t>ANEXO H</w:t>
      </w:r>
    </w:p>
    <w:p>
      <w:pPr>
        <w:keepNext/>
        <w:keepLines/>
        <w:spacing w:before="240" w:after="480"/>
        <w:jc w:val="center"/>
      </w:pPr>
      <w:r>
        <w:rPr>
          <w:rFonts w:ascii="Times New Roman" w:hAnsi="Times New Roman"/>
          <w:b/>
          <w:sz w:val="20"/>
        </w:rPr>
        <w:t>[Diagrama de Ishikawa del control y trazabilidad de las solicitudes de servicio]</w:t>
      </w:r>
    </w:p>
    <w:p>
      <w:pPr>
        <w:keepNext/>
        <w:keepLines/>
        <w:jc w:val="center"/>
      </w:pPr>
      <w:r>
        <w:drawing>
          <wp:inline xmlns:a="http://schemas.openxmlformats.org/drawingml/2006/main" xmlns:pic="http://schemas.openxmlformats.org/drawingml/2006/picture">
            <wp:extent cx="4680000" cy="4264486"/>
            <wp:docPr id="15" name="Picture 15"/>
            <wp:cNvGraphicFramePr>
              <a:graphicFrameLocks noChangeAspect="1"/>
            </wp:cNvGraphicFramePr>
            <a:graphic>
              <a:graphicData uri="http://schemas.openxmlformats.org/drawingml/2006/picture">
                <pic:pic>
                  <pic:nvPicPr>
                    <pic:cNvPr id="0" name="ishikawa_amaal_solicitudes.png"/>
                    <pic:cNvPicPr/>
                  </pic:nvPicPr>
                  <pic:blipFill>
                    <a:blip r:embed="rId23"/>
                    <a:stretch>
                      <a:fillRect/>
                    </a:stretch>
                  </pic:blipFill>
                  <pic:spPr>
                    <a:xfrm>
                      <a:off x="0" y="0"/>
                      <a:ext cx="4680000" cy="4264486"/>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5"/>
          <w:pgSz w:w="12240" w:h="15840"/>
          <w:pgMar w:top="1701" w:right="1701" w:bottom="1701" w:left="2268" w:header="720" w:footer="720" w:gutter="0"/>
          <w:cols w:space="720"/>
          <w:docGrid w:linePitch="360"/>
          <w:pgNumType w:fmt="decimal"/>
        </w:sectPr>
      </w:pPr>
    </w:p>
    <w:p>
      <w:bookmarkStart w:id="52" w:name="bm_anexoI"/>
      <w:pPr>
        <w:keepNext/>
        <w:keepLines/>
        <w:spacing w:before="0" w:after="480"/>
        <w:jc w:val="center"/>
      </w:pPr>
      <w:bookmarkEnd w:id="52"/>
      <w:r>
        <w:rPr>
          <w:rFonts w:ascii="Times New Roman" w:hAnsi="Times New Roman"/>
          <w:b/>
          <w:sz w:val="20"/>
        </w:rPr>
        <w:t>ANEXO I</w:t>
      </w:r>
    </w:p>
    <w:p>
      <w:pPr>
        <w:keepNext/>
        <w:keepLines/>
        <w:spacing w:before="240" w:after="480"/>
        <w:jc w:val="center"/>
      </w:pPr>
      <w:r>
        <w:rPr>
          <w:rFonts w:ascii="Times New Roman" w:hAnsi="Times New Roman"/>
          <w:b/>
          <w:sz w:val="20"/>
        </w:rPr>
        <w:t>[Memoria fotográfica de las actividades realizadas]</w:t>
      </w:r>
    </w:p>
    <w:p>
      <w:pPr>
        <w:keepNext/>
        <w:keepLines/>
        <w:jc w:val="center"/>
      </w:pPr>
      <w:r>
        <w:drawing>
          <wp:inline xmlns:a="http://schemas.openxmlformats.org/drawingml/2006/main" xmlns:pic="http://schemas.openxmlformats.org/drawingml/2006/picture">
            <wp:extent cx="4860000" cy="3645000"/>
            <wp:docPr id="16" name="Picture 16"/>
            <wp:cNvGraphicFramePr>
              <a:graphicFrameLocks noChangeAspect="1"/>
            </wp:cNvGraphicFramePr>
            <a:graphic>
              <a:graphicData uri="http://schemas.openxmlformats.org/drawingml/2006/picture">
                <pic:pic>
                  <pic:nvPicPr>
                    <pic:cNvPr id="0" name="IMG-20260818-WA0007.jpg"/>
                    <pic:cNvPicPr/>
                  </pic:nvPicPr>
                  <pic:blipFill>
                    <a:blip r:embed="rId24"/>
                    <a:stretch>
                      <a:fillRect/>
                    </a:stretch>
                  </pic:blipFill>
                  <pic:spPr>
                    <a:xfrm>
                      <a:off x="0" y="0"/>
                      <a:ext cx="4860000" cy="3645000"/>
                    </a:xfrm>
                    <a:prstGeom prst="rect"/>
                  </pic:spPr>
                </pic:pic>
              </a:graphicData>
            </a:graphic>
          </wp:inline>
        </w:drawing>
      </w:r>
    </w:p>
    <w:p>
      <w:pPr>
        <w:keepNext/>
        <w:keepLines/>
        <w:spacing w:before="120" w:after="240"/>
        <w:jc w:val="center"/>
      </w:pPr>
      <w:r>
        <w:rPr>
          <w:rFonts w:ascii="Times New Roman" w:hAnsi="Times New Roman"/>
          <w:b/>
          <w:sz w:val="20"/>
        </w:rPr>
        <w:t>Fotografía 1. Registro de actividades administrativas frente al equipo de trabajo.</w:t>
      </w:r>
    </w:p>
    <w:p>
      <w:r>
        <w:br w:type="page"/>
      </w:r>
    </w:p>
    <w:p>
      <w:pPr>
        <w:keepNext/>
        <w:keepLines/>
        <w:spacing w:after="480"/>
        <w:jc w:val="center"/>
      </w:pPr>
      <w:r>
        <w:rPr>
          <w:rFonts w:ascii="Times New Roman" w:hAnsi="Times New Roman"/>
          <w:b/>
          <w:sz w:val="20"/>
        </w:rPr>
        <w:t>ANEXO I (CONT.)</w:t>
      </w:r>
    </w:p>
    <w:p>
      <w:pPr>
        <w:keepNext/>
        <w:keepLines/>
        <w:jc w:val="center"/>
      </w:pPr>
      <w:r>
        <w:drawing>
          <wp:inline xmlns:a="http://schemas.openxmlformats.org/drawingml/2006/main" xmlns:pic="http://schemas.openxmlformats.org/drawingml/2006/picture">
            <wp:extent cx="4860000" cy="3645000"/>
            <wp:docPr id="17" name="Picture 17"/>
            <wp:cNvGraphicFramePr>
              <a:graphicFrameLocks noChangeAspect="1"/>
            </wp:cNvGraphicFramePr>
            <a:graphic>
              <a:graphicData uri="http://schemas.openxmlformats.org/drawingml/2006/picture">
                <pic:pic>
                  <pic:nvPicPr>
                    <pic:cNvPr id="0" name="IMG-20260818-WA0008.jpg"/>
                    <pic:cNvPicPr/>
                  </pic:nvPicPr>
                  <pic:blipFill>
                    <a:blip r:embed="rId25"/>
                    <a:stretch>
                      <a:fillRect/>
                    </a:stretch>
                  </pic:blipFill>
                  <pic:spPr>
                    <a:xfrm>
                      <a:off x="0" y="0"/>
                      <a:ext cx="4860000" cy="3645000"/>
                    </a:xfrm>
                    <a:prstGeom prst="rect"/>
                  </pic:spPr>
                </pic:pic>
              </a:graphicData>
            </a:graphic>
          </wp:inline>
        </w:drawing>
      </w:r>
    </w:p>
    <w:p>
      <w:pPr>
        <w:keepNext/>
        <w:keepLines/>
        <w:spacing w:before="120" w:after="240"/>
        <w:jc w:val="center"/>
      </w:pPr>
      <w:r>
        <w:rPr>
          <w:rFonts w:ascii="Times New Roman" w:hAnsi="Times New Roman"/>
          <w:b/>
          <w:sz w:val="20"/>
        </w:rPr>
        <w:t>Fotografía 2. Vista general del espacio de trabajo del área administrativa.</w:t>
      </w:r>
    </w:p>
    <w:p>
      <w:r>
        <w:br w:type="page"/>
      </w:r>
    </w:p>
    <w:p>
      <w:pPr>
        <w:keepNext/>
        <w:keepLines/>
        <w:spacing w:after="480"/>
        <w:jc w:val="center"/>
      </w:pPr>
      <w:r>
        <w:rPr>
          <w:rFonts w:ascii="Times New Roman" w:hAnsi="Times New Roman"/>
          <w:b/>
          <w:sz w:val="20"/>
        </w:rPr>
        <w:t>ANEXO I (CONT.)</w:t>
      </w:r>
    </w:p>
    <w:p>
      <w:pPr>
        <w:keepNext/>
        <w:keepLines/>
        <w:jc w:val="center"/>
      </w:pPr>
      <w:r>
        <w:drawing>
          <wp:inline xmlns:a="http://schemas.openxmlformats.org/drawingml/2006/main" xmlns:pic="http://schemas.openxmlformats.org/drawingml/2006/picture">
            <wp:extent cx="3780000" cy="5040000"/>
            <wp:docPr id="18" name="Picture 18"/>
            <wp:cNvGraphicFramePr>
              <a:graphicFrameLocks noChangeAspect="1"/>
            </wp:cNvGraphicFramePr>
            <a:graphic>
              <a:graphicData uri="http://schemas.openxmlformats.org/drawingml/2006/picture">
                <pic:pic>
                  <pic:nvPicPr>
                    <pic:cNvPr id="0" name="IMG-20260818-WA0009.jpg"/>
                    <pic:cNvPicPr/>
                  </pic:nvPicPr>
                  <pic:blipFill>
                    <a:blip r:embed="rId26"/>
                    <a:stretch>
                      <a:fillRect/>
                    </a:stretch>
                  </pic:blipFill>
                  <pic:spPr>
                    <a:xfrm>
                      <a:off x="0" y="0"/>
                      <a:ext cx="3780000" cy="5040000"/>
                    </a:xfrm>
                    <a:prstGeom prst="rect"/>
                  </pic:spPr>
                </pic:pic>
              </a:graphicData>
            </a:graphic>
          </wp:inline>
        </w:drawing>
      </w:r>
    </w:p>
    <w:p>
      <w:pPr>
        <w:keepNext/>
        <w:keepLines/>
        <w:spacing w:before="120" w:after="240"/>
        <w:jc w:val="center"/>
      </w:pPr>
      <w:r>
        <w:rPr>
          <w:rFonts w:ascii="Times New Roman" w:hAnsi="Times New Roman"/>
          <w:b/>
          <w:sz w:val="20"/>
        </w:rPr>
        <w:t>Fotografía 3. Verificación de información en los registros administrativos del área.</w:t>
      </w:r>
    </w:p>
    <w:p>
      <w:r>
        <w:br w:type="page"/>
      </w:r>
    </w:p>
    <w:p>
      <w:pPr>
        <w:keepNext/>
        <w:keepLines/>
        <w:spacing w:after="480"/>
        <w:jc w:val="center"/>
      </w:pPr>
      <w:r>
        <w:rPr>
          <w:rFonts w:ascii="Times New Roman" w:hAnsi="Times New Roman"/>
          <w:b/>
          <w:sz w:val="20"/>
        </w:rPr>
        <w:t>ANEXO I (CONT.)</w:t>
      </w:r>
    </w:p>
    <w:p>
      <w:pPr>
        <w:keepNext/>
        <w:keepLines/>
        <w:jc w:val="center"/>
      </w:pPr>
      <w:r>
        <w:drawing>
          <wp:inline xmlns:a="http://schemas.openxmlformats.org/drawingml/2006/main" xmlns:pic="http://schemas.openxmlformats.org/drawingml/2006/picture">
            <wp:extent cx="4860000" cy="3645000"/>
            <wp:docPr id="19" name="Picture 19"/>
            <wp:cNvGraphicFramePr>
              <a:graphicFrameLocks noChangeAspect="1"/>
            </wp:cNvGraphicFramePr>
            <a:graphic>
              <a:graphicData uri="http://schemas.openxmlformats.org/drawingml/2006/picture">
                <pic:pic>
                  <pic:nvPicPr>
                    <pic:cNvPr id="0" name="IMG-20260818-WA0010.jpg"/>
                    <pic:cNvPicPr/>
                  </pic:nvPicPr>
                  <pic:blipFill>
                    <a:blip r:embed="rId27"/>
                    <a:stretch>
                      <a:fillRect/>
                    </a:stretch>
                  </pic:blipFill>
                  <pic:spPr>
                    <a:xfrm>
                      <a:off x="0" y="0"/>
                      <a:ext cx="4860000" cy="3645000"/>
                    </a:xfrm>
                    <a:prstGeom prst="rect"/>
                  </pic:spPr>
                </pic:pic>
              </a:graphicData>
            </a:graphic>
          </wp:inline>
        </w:drawing>
      </w:r>
    </w:p>
    <w:p>
      <w:pPr>
        <w:keepNext/>
        <w:keepLines/>
        <w:spacing w:before="120" w:after="240"/>
        <w:jc w:val="center"/>
      </w:pPr>
      <w:r>
        <w:rPr>
          <w:rFonts w:ascii="Times New Roman" w:hAnsi="Times New Roman"/>
          <w:b/>
          <w:sz w:val="20"/>
        </w:rPr>
        <w:t>Fotografía 4. Puesto de trabajo utilizado para la gestión de información administrativa.</w:t>
      </w:r>
    </w:p>
    <w:p>
      <w:r>
        <w:br w:type="page"/>
      </w:r>
    </w:p>
    <w:p>
      <w:pPr>
        <w:keepNext/>
        <w:keepLines/>
        <w:spacing w:after="480"/>
        <w:jc w:val="center"/>
      </w:pPr>
      <w:r>
        <w:rPr>
          <w:rFonts w:ascii="Times New Roman" w:hAnsi="Times New Roman"/>
          <w:b/>
          <w:sz w:val="20"/>
        </w:rPr>
        <w:t>ANEXO I (CONT.)</w:t>
      </w:r>
    </w:p>
    <w:p>
      <w:pPr>
        <w:keepNext/>
        <w:keepLines/>
        <w:jc w:val="center"/>
      </w:pPr>
      <w:r>
        <w:drawing>
          <wp:inline xmlns:a="http://schemas.openxmlformats.org/drawingml/2006/main" xmlns:pic="http://schemas.openxmlformats.org/drawingml/2006/picture">
            <wp:extent cx="3780000" cy="5040000"/>
            <wp:docPr id="20" name="Picture 20"/>
            <wp:cNvGraphicFramePr>
              <a:graphicFrameLocks noChangeAspect="1"/>
            </wp:cNvGraphicFramePr>
            <a:graphic>
              <a:graphicData uri="http://schemas.openxmlformats.org/drawingml/2006/picture">
                <pic:pic>
                  <pic:nvPicPr>
                    <pic:cNvPr id="0" name="IMG-20260818-WA0011.jpg"/>
                    <pic:cNvPicPr/>
                  </pic:nvPicPr>
                  <pic:blipFill>
                    <a:blip r:embed="rId28"/>
                    <a:stretch>
                      <a:fillRect/>
                    </a:stretch>
                  </pic:blipFill>
                  <pic:spPr>
                    <a:xfrm>
                      <a:off x="0" y="0"/>
                      <a:ext cx="3780000" cy="5040000"/>
                    </a:xfrm>
                    <a:prstGeom prst="rect"/>
                  </pic:spPr>
                </pic:pic>
              </a:graphicData>
            </a:graphic>
          </wp:inline>
        </w:drawing>
      </w:r>
    </w:p>
    <w:p>
      <w:pPr>
        <w:keepNext/>
        <w:keepLines/>
        <w:spacing w:before="120" w:after="240"/>
        <w:jc w:val="center"/>
      </w:pPr>
      <w:r>
        <w:rPr>
          <w:rFonts w:ascii="Times New Roman" w:hAnsi="Times New Roman"/>
          <w:b/>
          <w:sz w:val="20"/>
        </w:rPr>
        <w:t>Fotografía 5. Revisión de registros y documentos desde el puesto de trabajo.</w:t>
      </w:r>
    </w:p>
    <w:p>
      <w:r>
        <w:br w:type="page"/>
      </w:r>
    </w:p>
    <w:p>
      <w:pPr>
        <w:keepNext/>
        <w:keepLines/>
        <w:spacing w:after="480"/>
        <w:jc w:val="center"/>
      </w:pPr>
      <w:r>
        <w:rPr>
          <w:rFonts w:ascii="Times New Roman" w:hAnsi="Times New Roman"/>
          <w:b/>
          <w:sz w:val="20"/>
        </w:rPr>
        <w:t>ANEXO I (CONT.)</w:t>
      </w:r>
    </w:p>
    <w:p>
      <w:pPr>
        <w:keepNext/>
        <w:keepLines/>
        <w:jc w:val="center"/>
      </w:pPr>
      <w:r>
        <w:drawing>
          <wp:inline xmlns:a="http://schemas.openxmlformats.org/drawingml/2006/main" xmlns:pic="http://schemas.openxmlformats.org/drawingml/2006/picture">
            <wp:extent cx="3780000" cy="5040000"/>
            <wp:docPr id="21" name="Picture 21"/>
            <wp:cNvGraphicFramePr>
              <a:graphicFrameLocks noChangeAspect="1"/>
            </wp:cNvGraphicFramePr>
            <a:graphic>
              <a:graphicData uri="http://schemas.openxmlformats.org/drawingml/2006/picture">
                <pic:pic>
                  <pic:nvPicPr>
                    <pic:cNvPr id="0" name="IMG-20260818-WA0012.jpg"/>
                    <pic:cNvPicPr/>
                  </pic:nvPicPr>
                  <pic:blipFill>
                    <a:blip r:embed="rId29"/>
                    <a:stretch>
                      <a:fillRect/>
                    </a:stretch>
                  </pic:blipFill>
                  <pic:spPr>
                    <a:xfrm>
                      <a:off x="0" y="0"/>
                      <a:ext cx="3780000" cy="5040000"/>
                    </a:xfrm>
                    <a:prstGeom prst="rect"/>
                  </pic:spPr>
                </pic:pic>
              </a:graphicData>
            </a:graphic>
          </wp:inline>
        </w:drawing>
      </w:r>
    </w:p>
    <w:p>
      <w:pPr>
        <w:keepNext/>
        <w:keepLines/>
        <w:spacing w:before="120" w:after="240"/>
        <w:jc w:val="center"/>
      </w:pPr>
      <w:r>
        <w:rPr>
          <w:rFonts w:ascii="Times New Roman" w:hAnsi="Times New Roman"/>
          <w:b/>
          <w:sz w:val="20"/>
        </w:rPr>
        <w:t>Fotografía 6. Revisión de información de pagos y soportes documentales.</w:t>
      </w:r>
    </w:p>
    <w:p>
      <w:r>
        <w:br w:type="page"/>
      </w:r>
    </w:p>
    <w:p>
      <w:pPr>
        <w:keepNext/>
        <w:keepLines/>
        <w:spacing w:after="480"/>
        <w:jc w:val="center"/>
      </w:pPr>
      <w:r>
        <w:rPr>
          <w:rFonts w:ascii="Times New Roman" w:hAnsi="Times New Roman"/>
          <w:b/>
          <w:sz w:val="20"/>
        </w:rPr>
        <w:t>ANEXO I (CONT.)</w:t>
      </w:r>
    </w:p>
    <w:p>
      <w:pPr>
        <w:keepNext/>
        <w:keepLines/>
        <w:jc w:val="center"/>
      </w:pPr>
      <w:r>
        <w:drawing>
          <wp:inline xmlns:a="http://schemas.openxmlformats.org/drawingml/2006/main" xmlns:pic="http://schemas.openxmlformats.org/drawingml/2006/picture">
            <wp:extent cx="3780000" cy="5040000"/>
            <wp:docPr id="22" name="Picture 22"/>
            <wp:cNvGraphicFramePr>
              <a:graphicFrameLocks noChangeAspect="1"/>
            </wp:cNvGraphicFramePr>
            <a:graphic>
              <a:graphicData uri="http://schemas.openxmlformats.org/drawingml/2006/picture">
                <pic:pic>
                  <pic:nvPicPr>
                    <pic:cNvPr id="0" name="IMG-20260818-WA0015.jpg"/>
                    <pic:cNvPicPr/>
                  </pic:nvPicPr>
                  <pic:blipFill>
                    <a:blip r:embed="rId30"/>
                    <a:stretch>
                      <a:fillRect/>
                    </a:stretch>
                  </pic:blipFill>
                  <pic:spPr>
                    <a:xfrm>
                      <a:off x="0" y="0"/>
                      <a:ext cx="3780000" cy="5040000"/>
                    </a:xfrm>
                    <a:prstGeom prst="rect"/>
                  </pic:spPr>
                </pic:pic>
              </a:graphicData>
            </a:graphic>
          </wp:inline>
        </w:drawing>
      </w:r>
    </w:p>
    <w:p>
      <w:pPr>
        <w:keepNext/>
        <w:keepLines/>
        <w:spacing w:before="120" w:after="240"/>
        <w:jc w:val="center"/>
      </w:pPr>
      <w:r>
        <w:rPr>
          <w:rFonts w:ascii="Times New Roman" w:hAnsi="Times New Roman"/>
          <w:b/>
          <w:sz w:val="20"/>
        </w:rPr>
        <w:t>Fotografía 7. Puesto de trabajo del área administrativa.</w:t>
      </w:r>
    </w:p>
    <w:p>
      <w:r>
        <w:br w:type="page"/>
      </w:r>
    </w:p>
    <w:p>
      <w:pPr>
        <w:keepNext/>
        <w:keepLines/>
        <w:spacing w:after="480"/>
        <w:jc w:val="center"/>
      </w:pPr>
      <w:r>
        <w:rPr>
          <w:rFonts w:ascii="Times New Roman" w:hAnsi="Times New Roman"/>
          <w:b/>
          <w:sz w:val="20"/>
        </w:rPr>
        <w:t>ANEXO I (CONT.)</w:t>
      </w:r>
    </w:p>
    <w:p>
      <w:pPr>
        <w:keepNext/>
        <w:keepLines/>
        <w:jc w:val="center"/>
      </w:pPr>
      <w:r>
        <w:drawing>
          <wp:inline xmlns:a="http://schemas.openxmlformats.org/drawingml/2006/main" xmlns:pic="http://schemas.openxmlformats.org/drawingml/2006/picture">
            <wp:extent cx="3780000" cy="5040000"/>
            <wp:docPr id="23" name="Picture 23"/>
            <wp:cNvGraphicFramePr>
              <a:graphicFrameLocks noChangeAspect="1"/>
            </wp:cNvGraphicFramePr>
            <a:graphic>
              <a:graphicData uri="http://schemas.openxmlformats.org/drawingml/2006/picture">
                <pic:pic>
                  <pic:nvPicPr>
                    <pic:cNvPr id="0" name="IMG-20260818-WA0016.jpg"/>
                    <pic:cNvPicPr/>
                  </pic:nvPicPr>
                  <pic:blipFill>
                    <a:blip r:embed="rId31"/>
                    <a:stretch>
                      <a:fillRect/>
                    </a:stretch>
                  </pic:blipFill>
                  <pic:spPr>
                    <a:xfrm>
                      <a:off x="0" y="0"/>
                      <a:ext cx="3780000" cy="5040000"/>
                    </a:xfrm>
                    <a:prstGeom prst="rect"/>
                  </pic:spPr>
                </pic:pic>
              </a:graphicData>
            </a:graphic>
          </wp:inline>
        </w:drawing>
      </w:r>
    </w:p>
    <w:p>
      <w:pPr>
        <w:keepNext/>
        <w:keepLines/>
        <w:spacing w:before="120" w:after="240"/>
        <w:jc w:val="center"/>
      </w:pPr>
      <w:r>
        <w:rPr>
          <w:rFonts w:ascii="Times New Roman" w:hAnsi="Times New Roman"/>
          <w:b/>
          <w:sz w:val="20"/>
        </w:rPr>
        <w:t>Fotografía 8. Puesto de trabajo y equipo utilizado durante la pasantía.</w:t>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Registro fotográfico suministrado por la autora (2026).</w:t>
      </w:r>
    </w:p>
    <w:sectPr w:rsidR="00FC693F" w:rsidRPr="0006063C" w:rsidSect="00034616">
      <w:footerReference w:type="default" r:id="rId66"/>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footer" Target="footer1.xml"/><Relationship Id="rId33" Type="http://schemas.openxmlformats.org/officeDocument/2006/relationships/footer" Target="footer2.xml"/><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footer" Target="footer13.xml"/><Relationship Id="rId45" Type="http://schemas.openxmlformats.org/officeDocument/2006/relationships/footer" Target="footer14.xml"/><Relationship Id="rId46" Type="http://schemas.openxmlformats.org/officeDocument/2006/relationships/footer" Target="footer15.xml"/><Relationship Id="rId47" Type="http://schemas.openxmlformats.org/officeDocument/2006/relationships/footer" Target="footer16.xml"/><Relationship Id="rId48" Type="http://schemas.openxmlformats.org/officeDocument/2006/relationships/footer" Target="footer17.xml"/><Relationship Id="rId49" Type="http://schemas.openxmlformats.org/officeDocument/2006/relationships/footer" Target="footer18.xml"/><Relationship Id="rId50" Type="http://schemas.openxmlformats.org/officeDocument/2006/relationships/footer" Target="footer19.xml"/><Relationship Id="rId51" Type="http://schemas.openxmlformats.org/officeDocument/2006/relationships/footer" Target="footer20.xml"/><Relationship Id="rId52" Type="http://schemas.openxmlformats.org/officeDocument/2006/relationships/footer" Target="footer21.xml"/><Relationship Id="rId53" Type="http://schemas.openxmlformats.org/officeDocument/2006/relationships/footer" Target="footer22.xml"/><Relationship Id="rId54" Type="http://schemas.openxmlformats.org/officeDocument/2006/relationships/footer" Target="footer23.xml"/><Relationship Id="rId55" Type="http://schemas.openxmlformats.org/officeDocument/2006/relationships/footer" Target="footer24.xml"/><Relationship Id="rId56" Type="http://schemas.openxmlformats.org/officeDocument/2006/relationships/footer" Target="footer25.xml"/><Relationship Id="rId57" Type="http://schemas.openxmlformats.org/officeDocument/2006/relationships/footer" Target="footer26.xml"/><Relationship Id="rId58" Type="http://schemas.openxmlformats.org/officeDocument/2006/relationships/footer" Target="footer27.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footer" Target="footer31.xml"/><Relationship Id="rId63" Type="http://schemas.openxmlformats.org/officeDocument/2006/relationships/footer" Target="footer32.xml"/><Relationship Id="rId64" Type="http://schemas.openxmlformats.org/officeDocument/2006/relationships/footer" Target="footer33.xml"/><Relationship Id="rId65" Type="http://schemas.openxmlformats.org/officeDocument/2006/relationships/footer" Target="footer34.xml"/><Relationship Id="rId66" Type="http://schemas.openxmlformats.org/officeDocument/2006/relationships/footer" Target="footer3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