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agosto de 2026</w:t>
      </w:r>
    </w:p>
    <w:p>
      <w:pPr>
        <w:sectPr>
          <w:footerReference w:type="default" r:id="rId23"/>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76" w:lineRule="auto" w:before="440" w:after="0"/>
        <w:jc w:val="center"/>
      </w:pPr>
      <w:r>
        <w:rPr>
          <w:rFonts w:ascii="Times New Roman" w:hAnsi="Times New Roman"/>
          <w:b/>
          <w:sz w:val="24"/>
        </w:rPr>
        <w:t>Informe de pasantías para obtener el título de Técnico Superior Universitario en la especialidad de: Informática</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800" w:after="0"/>
        <w:jc w:val="center"/>
      </w:pPr>
      <w:r>
        <w:rPr>
          <w:rFonts w:ascii="Times New Roman" w:hAnsi="Times New Roman"/>
          <w:sz w:val="24"/>
        </w:rPr>
        <w:t>El Tigre, agosto de 2026</w:t>
      </w:r>
    </w:p>
    <w:p>
      <w:pPr>
        <w:sectPr>
          <w:footerReference w:type="default" r:id="rId2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1" w:name="bm_aprob_ind"/>
      <w:pPr>
        <w:spacing w:before="480" w:after="480"/>
        <w:jc w:val="center"/>
      </w:pPr>
      <w:r>
        <w:rPr>
          <w:rFonts w:ascii="Times New Roman" w:hAnsi="Times New Roman"/>
          <w:b/>
          <w:sz w:val="24"/>
        </w:rPr>
        <w:t>APROBACIÓN DEL TUTOR INDUSTRIAL</w:t>
      </w:r>
      <w:bookmarkEnd w:id="1"/>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25"/>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26"/>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7"/>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8"/>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viii</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9"/>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del Departamento de Presidencia</w:t>
        <w:tab/>
      </w:r>
      <w:r>
        <w:rPr>
          <w:rFonts w:ascii="Times New Roman" w:hAnsi="Times New Roman"/>
          <w:b w:val="0"/>
          <w:sz w:val="24"/>
        </w:rPr>
        <w:fldChar w:fldCharType="begin"/>
        <w:instrText xml:space="preserve"> PAGEREF bm_cuadro1 \h </w:instrText>
        <w:fldChar w:fldCharType="separate"/>
        <w:t>?</w:t>
        <w:fldChar w:fldCharType="end"/>
      </w:r>
    </w:p>
    <w:p>
      <w:pPr>
        <w:sectPr>
          <w:footerReference w:type="default" r:id="rId30"/>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31"/>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Flujograma AS-IS del proceso documental actual de Presidencia</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Flujograma TO-BE del proceso con el sistema automatizado</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Diagrama entidad-relación del módulo de expedientes</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Arquitectura lógica del prototipo</w:t>
        <w:tab/>
      </w:r>
      <w:r>
        <w:rPr>
          <w:rFonts w:ascii="Times New Roman" w:hAnsi="Times New Roman"/>
          <w:b w:val="0"/>
          <w:sz w:val="24"/>
        </w:rPr>
        <w:fldChar w:fldCharType="begin"/>
        <w:instrText xml:space="preserve"> PAGEREF bm_anexoE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F</w:t>
        <w:tab/>
        <w:t>Secuencia de registro y despacho de un expediente</w:t>
        <w:tab/>
      </w:r>
      <w:r>
        <w:rPr>
          <w:rFonts w:ascii="Times New Roman" w:hAnsi="Times New Roman"/>
          <w:b w:val="0"/>
          <w:sz w:val="24"/>
        </w:rPr>
        <w:fldChar w:fldCharType="begin"/>
        <w:instrText xml:space="preserve"> PAGEREF bm_anexoF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G</w:t>
        <w:tab/>
        <w:t>Estados del expediente</w:t>
        <w:tab/>
      </w:r>
      <w:r>
        <w:rPr>
          <w:rFonts w:ascii="Times New Roman" w:hAnsi="Times New Roman"/>
          <w:b w:val="0"/>
          <w:sz w:val="24"/>
        </w:rPr>
        <w:fldChar w:fldCharType="begin"/>
        <w:instrText xml:space="preserve"> PAGEREF bm_anexoG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H</w:t>
        <w:tab/>
        <w:t>Mapa de módulos de la interfaz</w:t>
        <w:tab/>
      </w:r>
      <w:r>
        <w:rPr>
          <w:rFonts w:ascii="Times New Roman" w:hAnsi="Times New Roman"/>
          <w:b w:val="0"/>
          <w:sz w:val="24"/>
        </w:rPr>
        <w:fldChar w:fldCharType="begin"/>
        <w:instrText xml:space="preserve"> PAGEREF bm_anexoH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I</w:t>
        <w:tab/>
        <w:t>Proceso de respaldo periódico de SQLite</w:t>
        <w:tab/>
      </w:r>
      <w:r>
        <w:rPr>
          <w:rFonts w:ascii="Times New Roman" w:hAnsi="Times New Roman"/>
          <w:b w:val="0"/>
          <w:sz w:val="24"/>
        </w:rPr>
        <w:fldChar w:fldCharType="begin"/>
        <w:instrText xml:space="preserve"> PAGEREF bm_anexoI \h </w:instrText>
        <w:fldChar w:fldCharType="separate"/>
        <w:t>?</w:t>
        <w:fldChar w:fldCharType="end"/>
      </w:r>
    </w:p>
    <w:p>
      <w:pPr>
        <w:sectPr>
          <w:footerReference w:type="default" r:id="rId32"/>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40" w:lineRule="auto" w:after="120"/>
        <w:ind w:left="0"/>
        <w:jc w:val="right"/>
      </w:pPr>
      <w:r>
        <w:rPr>
          <w:rFonts w:ascii="Times New Roman" w:hAnsi="Times New Roman"/>
          <w:b/>
          <w:sz w:val="24"/>
        </w:rPr>
        <w:t>Autor: Cardona, Juliano</w:t>
        <w:br/>
      </w:r>
      <w:r>
        <w:rPr>
          <w:rFonts w:ascii="Times New Roman" w:hAnsi="Times New Roman"/>
          <w:sz w:val="24"/>
        </w:rPr>
        <w:t>C.I.: 32.281.199</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sistema automatizado, trazabilidad documental, SQLite, Wails, pasantías</w:t>
      </w:r>
    </w:p>
    <w:p>
      <w:pPr>
        <w:sectPr>
          <w:footerReference w:type="default" r:id="rId33"/>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34"/>
          <w:footerReference w:type="first" r:id="rId35"/>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pPr>
        <w:keepNext/>
        <w:keepLines/>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la Empresa Mixta Petrolera Venangocupet, S.A.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Empresa Mixta Petrolera Venangocupet, S.A.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keepNext/>
        <w:keepLines/>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Referencia cartográfica de la ubicación de las oficinas administrativas de Venangocupet, S.A.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Captura cartográfica de Google Maps (2026). La empresa no aparece rotulada de forma independiente; se emplea como referencia el Centro Comercial San Remo Mall.</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del Departamento de Presidencia.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Departamento de Presidencia</w:t>
            </w:r>
          </w:p>
        </w:tc>
        <w:tc>
          <w:tcPr>
            <w:tcW w:type="dxa" w:w="2886"/>
          </w:tcPr>
          <w:p>
            <w:pPr>
              <w:spacing w:line="240" w:lineRule="auto" w:before="40" w:after="40"/>
              <w:jc w:val="left"/>
            </w:pPr>
            <w:r/>
            <w:r>
              <w:rPr>
                <w:rFonts w:ascii="Times New Roman" w:hAnsi="Times New Roman"/>
                <w:sz w:val="20"/>
              </w:rPr>
              <w:t>Presidente</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Departamento de Presidencia</w:t>
            </w:r>
          </w:p>
        </w:tc>
        <w:tc>
          <w:tcPr>
            <w:tcW w:type="dxa" w:w="2886"/>
          </w:tcPr>
          <w:p>
            <w:pPr>
              <w:spacing w:line="240" w:lineRule="auto" w:before="40" w:after="40"/>
              <w:jc w:val="left"/>
            </w:pPr>
            <w:r/>
            <w:r>
              <w:rPr>
                <w:rFonts w:ascii="Times New Roman" w:hAnsi="Times New Roman"/>
                <w:sz w:val="20"/>
              </w:rPr>
              <w:t>Secretaría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w:t>
      </w:r>
      <w:bookmarkEnd w:id="23"/>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keepNext/>
        <w:keepLines/>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Venangocupet, S.A.</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Empresa Mixta Petrolera Venangocupet, S.A. (2026).</w:t>
      </w:r>
    </w:p>
    <w:p>
      <w:pPr>
        <w:keepNext/>
        <w:keepLines/>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25" w:name="bm_grafico4"/>
      <w:pPr>
        <w:keepNext/>
        <w:keepLines/>
        <w:spacing w:before="120" w:after="480"/>
        <w:jc w:val="center"/>
      </w:pPr>
      <w:r>
        <w:rPr>
          <w:rFonts w:ascii="Times New Roman" w:hAnsi="Times New Roman"/>
          <w:i/>
          <w:sz w:val="20"/>
        </w:rPr>
        <w:t xml:space="preserve">Gráfico 4. </w:t>
      </w:r>
      <w:r>
        <w:rPr>
          <w:rFonts w:ascii="Times New Roman" w:hAnsi="Times New Roman"/>
          <w:b/>
          <w:sz w:val="20"/>
        </w:rPr>
        <w:t>Organigrama del Departamento de Presidencia.</w:t>
      </w:r>
      <w:bookmarkEnd w:id="25"/>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Empresa Mixta Petrolera Venangocupet, S.A. (2026).</w:t>
      </w:r>
    </w:p>
    <w:p>
      <w:bookmarkStart w:id="26"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6"/>
    </w:p>
    <w:p>
      <w:pPr>
        <w:spacing w:line="360" w:lineRule="auto" w:after="0" w:before="0"/>
        <w:ind w:firstLine="709"/>
        <w:jc w:val="both"/>
      </w:pPr>
      <w:r>
        <w:rPr>
          <w:rFonts w:ascii="Times New Roman" w:hAnsi="Times New Roman"/>
          <w:i w:val="0"/>
          <w:sz w:val="24"/>
        </w:rPr>
        <w:t>El Departamento de Presidencia fue el área donde se desarrollaron las pasantías y funciona como punto de recepción, revisión, firma y despacho de correspondencia ejecutiva. El flujo observado comprende la recepción externa del documento, la revisión ortográfica y de formato, el registro de ingreso, la entrega al Presidente para firma, el registro de egreso y el despacho al departamento de destino. La práctica también incluyó el registro y actualización de expedientes, la revisión y canalización de correspondencia y la elaboración de reportes.</w:t>
      </w:r>
    </w:p>
    <w:p>
      <w:pPr>
        <w:sectPr>
          <w:footerReference w:type="default" r:id="rId36"/>
          <w:footerReference w:type="first" r:id="rId37"/>
          <w:pgSz w:w="12240" w:h="15840"/>
          <w:pgMar w:top="1701" w:right="1701" w:bottom="1701" w:left="2268" w:header="720" w:footer="720" w:gutter="0"/>
          <w:cols w:space="720"/>
          <w:titlePg/>
          <w:docGrid w:linePitch="360"/>
          <w:pgNumType w:fmt="decimal"/>
        </w:sectPr>
      </w:pPr>
    </w:p>
    <w:p>
      <w:bookmarkStart w:id="27" w:name="bm_referencias"/>
      <w:pPr>
        <w:pStyle w:val="IUTECPPreliminar"/>
        <w:keepNext/>
        <w:keepLines/>
        <w:spacing w:before="1140" w:after="480"/>
        <w:jc w:val="center"/>
      </w:pPr>
      <w:r>
        <w:rPr>
          <w:rFonts w:ascii="Times New Roman" w:hAnsi="Times New Roman"/>
          <w:b/>
          <w:sz w:val="24"/>
        </w:rPr>
        <w:t>REFERENCIAS</w:t>
      </w:r>
      <w:bookmarkEnd w:id="27"/>
    </w:p>
    <w:p>
      <w:pPr>
        <w:spacing w:before="480" w:after="0"/>
      </w:pPr>
    </w:p>
    <w:p>
      <w:pPr>
        <w:spacing w:line="240" w:lineRule="auto" w:after="480" w:before="0"/>
        <w:ind w:left="425" w:hanging="425"/>
        <w:jc w:val="both"/>
      </w:pPr>
      <w:r>
        <w:rPr>
          <w:rFonts w:ascii="Times New Roman" w:hAnsi="Times New Roman"/>
          <w:b w:val="0"/>
          <w:sz w:val="24"/>
        </w:rPr>
        <w:t xml:space="preserve">Arias, F. (2012). </w:t>
      </w:r>
      <w:r>
        <w:rPr>
          <w:rFonts w:ascii="Times New Roman" w:hAnsi="Times New Roman"/>
          <w:b/>
          <w:sz w:val="24"/>
        </w:rPr>
        <w:t>El proyecto de investigación: Introducción a la metodología científica (6ta ed.)</w:t>
      </w:r>
      <w:r>
        <w:rPr>
          <w:rFonts w:ascii="Times New Roman" w:hAnsi="Times New Roman"/>
          <w:b w:val="0"/>
          <w:sz w:val="24"/>
        </w:rPr>
        <w:t>. Episteme, Venezuela.</w:t>
      </w:r>
    </w:p>
    <w:p>
      <w:pPr>
        <w:spacing w:line="240" w:lineRule="auto" w:after="480" w:before="0"/>
        <w:ind w:left="425" w:hanging="425"/>
        <w:jc w:val="both"/>
      </w:pPr>
      <w:r>
        <w:rPr>
          <w:rFonts w:ascii="Times New Roman" w:hAnsi="Times New Roman"/>
          <w:b w:val="0"/>
          <w:sz w:val="24"/>
        </w:rPr>
        <w:t xml:space="preserve">Codd, E. F. (1970). </w:t>
      </w:r>
      <w:r>
        <w:rPr>
          <w:rFonts w:ascii="Times New Roman" w:hAnsi="Times New Roman"/>
          <w:b/>
          <w:sz w:val="24"/>
        </w:rPr>
        <w:t>A relational model of data for large shared data banks</w:t>
      </w:r>
      <w:r>
        <w:rPr>
          <w:rFonts w:ascii="Times New Roman" w:hAnsi="Times New Roman"/>
          <w:b w:val="0"/>
          <w:sz w:val="24"/>
        </w:rPr>
        <w:t>. Communications of the ACM, 13(6), 377-387.</w:t>
      </w:r>
    </w:p>
    <w:p>
      <w:pPr>
        <w:spacing w:line="240" w:lineRule="auto" w:after="480" w:before="0"/>
        <w:ind w:left="425" w:hanging="425"/>
        <w:jc w:val="both"/>
      </w:pPr>
      <w:r>
        <w:rPr>
          <w:rFonts w:ascii="Times New Roman" w:hAnsi="Times New Roman"/>
          <w:b w:val="0"/>
          <w:sz w:val="24"/>
        </w:rPr>
        <w:t xml:space="preserve">Cruz Mundet, J. R. (2011). </w:t>
      </w:r>
      <w:r>
        <w:rPr>
          <w:rFonts w:ascii="Times New Roman" w:hAnsi="Times New Roman"/>
          <w:b/>
          <w:sz w:val="24"/>
        </w:rPr>
        <w:t>Administración de documentos y archivos: Textos fundamentales</w:t>
      </w:r>
      <w:r>
        <w:rPr>
          <w:rFonts w:ascii="Times New Roman" w:hAnsi="Times New Roman"/>
          <w:b w:val="0"/>
          <w:sz w:val="24"/>
        </w:rPr>
        <w:t>. Coordinadora de Asociaciones de Archiveros, España.</w:t>
      </w:r>
    </w:p>
    <w:p>
      <w:pPr>
        <w:spacing w:line="240" w:lineRule="auto" w:after="480" w:before="0"/>
        <w:ind w:left="425" w:hanging="425"/>
        <w:jc w:val="both"/>
      </w:pPr>
      <w:r>
        <w:rPr>
          <w:rFonts w:ascii="Times New Roman" w:hAnsi="Times New Roman"/>
          <w:b w:val="0"/>
          <w:sz w:val="24"/>
        </w:rPr>
        <w:t xml:space="preserve">Date, C. J. (2001). </w:t>
      </w:r>
      <w:r>
        <w:rPr>
          <w:rFonts w:ascii="Times New Roman" w:hAnsi="Times New Roman"/>
          <w:b/>
          <w:sz w:val="24"/>
        </w:rPr>
        <w:t>Introducción a los sistemas de bases de datos (7ma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Gómez, R. (2019). </w:t>
      </w:r>
      <w:r>
        <w:rPr>
          <w:rFonts w:ascii="Times New Roman" w:hAnsi="Times New Roman"/>
          <w:b/>
          <w:sz w:val="24"/>
        </w:rPr>
        <w:t>Gestión Documental y Sistemas</w:t>
      </w:r>
      <w:r>
        <w:rPr>
          <w:rFonts w:ascii="Times New Roman" w:hAnsi="Times New Roman"/>
          <w:b w:val="0"/>
          <w:sz w:val="24"/>
        </w:rPr>
        <w:t>. Editorial Trillas, México.</w:t>
      </w:r>
    </w:p>
    <w:p>
      <w:pPr>
        <w:spacing w:line="240" w:lineRule="auto" w:after="480" w:before="0"/>
        <w:ind w:left="425" w:hanging="425"/>
        <w:jc w:val="both"/>
      </w:pPr>
      <w:r>
        <w:rPr>
          <w:rFonts w:ascii="Times New Roman" w:hAnsi="Times New Roman"/>
          <w:b w:val="0"/>
          <w:sz w:val="24"/>
        </w:rPr>
        <w:t xml:space="preserve">Kendall, K., y Kendall, J. (2011). </w:t>
      </w:r>
      <w:r>
        <w:rPr>
          <w:rFonts w:ascii="Times New Roman" w:hAnsi="Times New Roman"/>
          <w:b/>
          <w:sz w:val="24"/>
        </w:rPr>
        <w:t>Análisis y diseño de sistemas (8va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Pressman, R. (2010). </w:t>
      </w:r>
      <w:r>
        <w:rPr>
          <w:rFonts w:ascii="Times New Roman" w:hAnsi="Times New Roman"/>
          <w:b/>
          <w:sz w:val="24"/>
        </w:rPr>
        <w:t>Ingeniería de Software: Un enfoque práctico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Universidad Pedagógica Experimental Libertador. (2016). </w:t>
      </w:r>
      <w:r>
        <w:rPr>
          <w:rFonts w:ascii="Times New Roman" w:hAnsi="Times New Roman"/>
          <w:b/>
          <w:sz w:val="24"/>
        </w:rPr>
        <w:t>Manual de trabajos de grado de especialización y maestría y tesis doctorales (5ta ed.)</w:t>
      </w:r>
      <w:r>
        <w:rPr>
          <w:rFonts w:ascii="Times New Roman" w:hAnsi="Times New Roman"/>
          <w:b w:val="0"/>
          <w:sz w:val="24"/>
        </w:rPr>
        <w:t>. FEDUPEL, Venezuela.</w:t>
      </w:r>
    </w:p>
    <w:p>
      <w:pPr>
        <w:sectPr>
          <w:footerReference w:type="default" r:id="rId38"/>
          <w:footerReference w:type="first" r:id="rId39"/>
          <w:pgSz w:w="12240" w:h="15840"/>
          <w:pgMar w:top="1701" w:right="1701" w:bottom="1701" w:left="2268" w:header="720" w:footer="720" w:gutter="0"/>
          <w:cols w:space="720"/>
          <w:titlePg/>
          <w:docGrid w:linePitch="360"/>
          <w:pgNumType w:fmt="decimal"/>
        </w:sectPr>
      </w:pPr>
    </w:p>
    <w:p>
      <w:bookmarkStart w:id="28" w:name="bm_anexos"/>
      <w:pPr>
        <w:spacing w:before="6075"/>
        <w:jc w:val="center"/>
      </w:pPr>
      <w:r>
        <w:rPr>
          <w:rFonts w:ascii="Times New Roman" w:hAnsi="Times New Roman"/>
          <w:b/>
          <w:sz w:val="24"/>
        </w:rPr>
        <w:t>ANEXOS</w:t>
      </w:r>
      <w:bookmarkEnd w:id="28"/>
    </w:p>
    <w:p>
      <w:pPr>
        <w:sectPr>
          <w:footerReference w:type="default" r:id="rId40"/>
          <w:pgSz w:w="12240" w:h="15840"/>
          <w:pgMar w:top="1701" w:right="1701" w:bottom="1701" w:left="2268" w:header="720" w:footer="720" w:gutter="0"/>
          <w:cols w:space="720"/>
          <w:docGrid w:linePitch="360"/>
          <w:pgNumType w:fmt="decimal"/>
        </w:sectPr>
      </w:pPr>
    </w:p>
    <w:p>
      <w:bookmarkStart w:id="29" w:name="bm_anexoA"/>
      <w:pPr>
        <w:keepNext/>
        <w:keepLines/>
        <w:spacing w:before="0" w:after="480"/>
        <w:jc w:val="center"/>
      </w:pPr>
      <w:bookmarkEnd w:id="29"/>
      <w:r>
        <w:rPr>
          <w:rFonts w:ascii="Times New Roman" w:hAnsi="Times New Roman"/>
          <w:b/>
          <w:sz w:val="20"/>
        </w:rPr>
        <w:t>ANEXO A</w:t>
      </w:r>
    </w:p>
    <w:p>
      <w:pPr>
        <w:keepNext/>
        <w:keepLines/>
        <w:spacing w:before="240" w:after="480"/>
        <w:jc w:val="center"/>
      </w:pPr>
      <w:r>
        <w:rPr>
          <w:rFonts w:ascii="Times New Roman" w:hAnsi="Times New Roman"/>
          <w:b/>
          <w:sz w:val="20"/>
        </w:rPr>
        <w:t>[Árbol del problema del control de movimientos documentales]</w:t>
      </w:r>
    </w:p>
    <w:p>
      <w:pPr>
        <w:keepNext/>
        <w:keepLines/>
        <w:jc w:val="center"/>
      </w:pPr>
      <w:r>
        <w:drawing>
          <wp:inline xmlns:a="http://schemas.openxmlformats.org/drawingml/2006/main" xmlns:pic="http://schemas.openxmlformats.org/drawingml/2006/picture">
            <wp:extent cx="3960000" cy="2317669"/>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3960000" cy="2317669"/>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1"/>
          <w:pgSz w:w="12240" w:h="15840"/>
          <w:pgMar w:top="1701" w:right="1701" w:bottom="1701" w:left="2268" w:header="720" w:footer="720" w:gutter="0"/>
          <w:cols w:space="720"/>
          <w:docGrid w:linePitch="360"/>
          <w:pgNumType w:fmt="decimal"/>
        </w:sectPr>
      </w:pPr>
    </w:p>
    <w:p>
      <w:bookmarkStart w:id="30" w:name="bm_anexoB"/>
      <w:pPr>
        <w:keepNext/>
        <w:keepLines/>
        <w:spacing w:before="0" w:after="480"/>
        <w:jc w:val="center"/>
      </w:pPr>
      <w:bookmarkEnd w:id="30"/>
      <w:r>
        <w:rPr>
          <w:rFonts w:ascii="Times New Roman" w:hAnsi="Times New Roman"/>
          <w:b/>
          <w:sz w:val="20"/>
        </w:rPr>
        <w:t>ANEXO B</w:t>
      </w:r>
    </w:p>
    <w:p>
      <w:pPr>
        <w:keepNext/>
        <w:keepLines/>
        <w:spacing w:before="240" w:after="480"/>
        <w:jc w:val="center"/>
      </w:pPr>
      <w:r>
        <w:rPr>
          <w:rFonts w:ascii="Times New Roman" w:hAnsi="Times New Roman"/>
          <w:b/>
          <w:sz w:val="20"/>
        </w:rPr>
        <w:t>[Flujograma AS-IS del proceso documental actual de Presidencia]</w:t>
      </w:r>
    </w:p>
    <w:p>
      <w:pPr>
        <w:keepNext/>
        <w:keepLines/>
        <w:jc w:val="center"/>
      </w:pPr>
      <w:r>
        <w:drawing>
          <wp:inline xmlns:a="http://schemas.openxmlformats.org/drawingml/2006/main" xmlns:pic="http://schemas.openxmlformats.org/drawingml/2006/picture">
            <wp:extent cx="3960000" cy="4934286"/>
            <wp:docPr id="7" name="Picture 7"/>
            <wp:cNvGraphicFramePr>
              <a:graphicFrameLocks noChangeAspect="1"/>
            </wp:cNvGraphicFramePr>
            <a:graphic>
              <a:graphicData uri="http://schemas.openxmlformats.org/drawingml/2006/picture">
                <pic:pic>
                  <pic:nvPicPr>
                    <pic:cNvPr id="0" name="02_flujo_as_is_presidencia.png"/>
                    <pic:cNvPicPr/>
                  </pic:nvPicPr>
                  <pic:blipFill>
                    <a:blip r:embed="rId15"/>
                    <a:stretch>
                      <a:fillRect/>
                    </a:stretch>
                  </pic:blipFill>
                  <pic:spPr>
                    <a:xfrm>
                      <a:off x="0" y="0"/>
                      <a:ext cx="3960000" cy="4934286"/>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2"/>
          <w:pgSz w:w="12240" w:h="15840"/>
          <w:pgMar w:top="1701" w:right="1701" w:bottom="1701" w:left="2268" w:header="720" w:footer="720" w:gutter="0"/>
          <w:cols w:space="720"/>
          <w:docGrid w:linePitch="360"/>
          <w:pgNumType w:fmt="decimal"/>
        </w:sectPr>
      </w:pPr>
    </w:p>
    <w:p>
      <w:bookmarkStart w:id="31" w:name="bm_anexoC"/>
      <w:pPr>
        <w:keepNext/>
        <w:keepLines/>
        <w:spacing w:before="0" w:after="480"/>
        <w:jc w:val="center"/>
      </w:pPr>
      <w:bookmarkEnd w:id="31"/>
      <w:r>
        <w:rPr>
          <w:rFonts w:ascii="Times New Roman" w:hAnsi="Times New Roman"/>
          <w:b/>
          <w:sz w:val="20"/>
        </w:rPr>
        <w:t>ANEXO C</w:t>
      </w:r>
    </w:p>
    <w:p>
      <w:pPr>
        <w:keepNext/>
        <w:keepLines/>
        <w:spacing w:before="240" w:after="480"/>
        <w:jc w:val="center"/>
      </w:pPr>
      <w:r>
        <w:rPr>
          <w:rFonts w:ascii="Times New Roman" w:hAnsi="Times New Roman"/>
          <w:b/>
          <w:sz w:val="20"/>
        </w:rPr>
        <w:t>[Flujograma TO-BE del proceso con el sistema automatizado]</w:t>
      </w:r>
    </w:p>
    <w:p>
      <w:pPr>
        <w:keepNext/>
        <w:keepLines/>
        <w:jc w:val="center"/>
      </w:pPr>
      <w:r>
        <w:drawing>
          <wp:inline xmlns:a="http://schemas.openxmlformats.org/drawingml/2006/main" xmlns:pic="http://schemas.openxmlformats.org/drawingml/2006/picture">
            <wp:extent cx="2959378" cy="5400000"/>
            <wp:docPr id="8" name="Picture 8"/>
            <wp:cNvGraphicFramePr>
              <a:graphicFrameLocks noChangeAspect="1"/>
            </wp:cNvGraphicFramePr>
            <a:graphic>
              <a:graphicData uri="http://schemas.openxmlformats.org/drawingml/2006/picture">
                <pic:pic>
                  <pic:nvPicPr>
                    <pic:cNvPr id="0" name="03_flujo_to_be_sistema_automatizado.png"/>
                    <pic:cNvPicPr/>
                  </pic:nvPicPr>
                  <pic:blipFill>
                    <a:blip r:embed="rId16"/>
                    <a:stretch>
                      <a:fillRect/>
                    </a:stretch>
                  </pic:blipFill>
                  <pic:spPr>
                    <a:xfrm>
                      <a:off x="0" y="0"/>
                      <a:ext cx="2959378"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3"/>
          <w:pgSz w:w="12240" w:h="15840"/>
          <w:pgMar w:top="1701" w:right="1701" w:bottom="1701" w:left="2268" w:header="720" w:footer="720" w:gutter="0"/>
          <w:cols w:space="720"/>
          <w:docGrid w:linePitch="360"/>
          <w:pgNumType w:fmt="decimal"/>
        </w:sectPr>
      </w:pPr>
    </w:p>
    <w:p>
      <w:bookmarkStart w:id="32" w:name="bm_anexoD"/>
      <w:pPr>
        <w:keepNext/>
        <w:keepLines/>
        <w:spacing w:before="0" w:after="480"/>
        <w:jc w:val="center"/>
      </w:pPr>
      <w:bookmarkEnd w:id="32"/>
      <w:r>
        <w:rPr>
          <w:rFonts w:ascii="Times New Roman" w:hAnsi="Times New Roman"/>
          <w:b/>
          <w:sz w:val="20"/>
        </w:rPr>
        <w:t>ANEXO D</w:t>
      </w:r>
    </w:p>
    <w:p>
      <w:pPr>
        <w:keepNext/>
        <w:keepLines/>
        <w:spacing w:before="240" w:after="480"/>
        <w:jc w:val="center"/>
      </w:pPr>
      <w:r>
        <w:rPr>
          <w:rFonts w:ascii="Times New Roman" w:hAnsi="Times New Roman"/>
          <w:b/>
          <w:sz w:val="20"/>
        </w:rPr>
        <w:t>[Diagrama entidad-relación del módulo de expedientes]</w:t>
      </w:r>
    </w:p>
    <w:p>
      <w:pPr>
        <w:keepNext/>
        <w:keepLines/>
        <w:jc w:val="center"/>
      </w:pPr>
      <w:r>
        <w:drawing>
          <wp:inline xmlns:a="http://schemas.openxmlformats.org/drawingml/2006/main" xmlns:pic="http://schemas.openxmlformats.org/drawingml/2006/picture">
            <wp:extent cx="5039999" cy="4452114"/>
            <wp:docPr id="9" name="Picture 9"/>
            <wp:cNvGraphicFramePr>
              <a:graphicFrameLocks noChangeAspect="1"/>
            </wp:cNvGraphicFramePr>
            <a:graphic>
              <a:graphicData uri="http://schemas.openxmlformats.org/drawingml/2006/picture">
                <pic:pic>
                  <pic:nvPicPr>
                    <pic:cNvPr id="0" name="04_modelo_relacional_documental.png"/>
                    <pic:cNvPicPr/>
                  </pic:nvPicPr>
                  <pic:blipFill>
                    <a:blip r:embed="rId17"/>
                    <a:stretch>
                      <a:fillRect/>
                    </a:stretch>
                  </pic:blipFill>
                  <pic:spPr>
                    <a:xfrm>
                      <a:off x="0" y="0"/>
                      <a:ext cx="5039999" cy="4452114"/>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a partir de expedientes_schema.sql (2026).</w:t>
      </w:r>
    </w:p>
    <w:p>
      <w:pPr>
        <w:sectPr>
          <w:footerReference w:type="default" r:id="rId44"/>
          <w:pgSz w:w="12240" w:h="15840"/>
          <w:pgMar w:top="1701" w:right="1701" w:bottom="1701" w:left="2268" w:header="720" w:footer="720" w:gutter="0"/>
          <w:cols w:space="720"/>
          <w:docGrid w:linePitch="360"/>
          <w:pgNumType w:fmt="decimal"/>
        </w:sectPr>
      </w:pPr>
    </w:p>
    <w:p>
      <w:bookmarkStart w:id="33" w:name="bm_anexoE"/>
      <w:pPr>
        <w:keepNext/>
        <w:keepLines/>
        <w:spacing w:before="0" w:after="480"/>
        <w:jc w:val="center"/>
      </w:pPr>
      <w:bookmarkEnd w:id="33"/>
      <w:r>
        <w:rPr>
          <w:rFonts w:ascii="Times New Roman" w:hAnsi="Times New Roman"/>
          <w:b/>
          <w:sz w:val="20"/>
        </w:rPr>
        <w:t>ANEXO E</w:t>
      </w:r>
    </w:p>
    <w:p>
      <w:pPr>
        <w:keepNext/>
        <w:keepLines/>
        <w:spacing w:before="240" w:after="480"/>
        <w:jc w:val="center"/>
      </w:pPr>
      <w:r>
        <w:rPr>
          <w:rFonts w:ascii="Times New Roman" w:hAnsi="Times New Roman"/>
          <w:b/>
          <w:sz w:val="20"/>
        </w:rPr>
        <w:t>[Arquitectura lógica del prototipo]</w:t>
      </w:r>
    </w:p>
    <w:p>
      <w:pPr>
        <w:keepNext/>
        <w:keepLines/>
        <w:jc w:val="center"/>
      </w:pPr>
      <w:r>
        <w:drawing>
          <wp:inline xmlns:a="http://schemas.openxmlformats.org/drawingml/2006/main" xmlns:pic="http://schemas.openxmlformats.org/drawingml/2006/picture">
            <wp:extent cx="5040000" cy="805177"/>
            <wp:docPr id="10" name="Picture 10"/>
            <wp:cNvGraphicFramePr>
              <a:graphicFrameLocks noChangeAspect="1"/>
            </wp:cNvGraphicFramePr>
            <a:graphic>
              <a:graphicData uri="http://schemas.openxmlformats.org/drawingml/2006/picture">
                <pic:pic>
                  <pic:nvPicPr>
                    <pic:cNvPr id="0" name="06_arquitectura_prototipo.png"/>
                    <pic:cNvPicPr/>
                  </pic:nvPicPr>
                  <pic:blipFill>
                    <a:blip r:embed="rId18"/>
                    <a:stretch>
                      <a:fillRect/>
                    </a:stretch>
                  </pic:blipFill>
                  <pic:spPr>
                    <a:xfrm>
                      <a:off x="0" y="0"/>
                      <a:ext cx="5040000" cy="80517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5"/>
          <w:pgSz w:w="12240" w:h="15840"/>
          <w:pgMar w:top="1701" w:right="1701" w:bottom="1701" w:left="2268" w:header="720" w:footer="720" w:gutter="0"/>
          <w:cols w:space="720"/>
          <w:docGrid w:linePitch="360"/>
          <w:pgNumType w:fmt="decimal"/>
        </w:sectPr>
      </w:pPr>
    </w:p>
    <w:p>
      <w:bookmarkStart w:id="34" w:name="bm_anexoF"/>
      <w:pPr>
        <w:keepNext/>
        <w:keepLines/>
        <w:spacing w:before="0" w:after="480"/>
        <w:jc w:val="center"/>
      </w:pPr>
      <w:bookmarkEnd w:id="34"/>
      <w:r>
        <w:rPr>
          <w:rFonts w:ascii="Times New Roman" w:hAnsi="Times New Roman"/>
          <w:b/>
          <w:sz w:val="20"/>
        </w:rPr>
        <w:t>ANEXO F</w:t>
      </w:r>
    </w:p>
    <w:p>
      <w:pPr>
        <w:keepNext/>
        <w:keepLines/>
        <w:spacing w:before="240" w:after="480"/>
        <w:jc w:val="center"/>
      </w:pPr>
      <w:r>
        <w:rPr>
          <w:rFonts w:ascii="Times New Roman" w:hAnsi="Times New Roman"/>
          <w:b/>
          <w:sz w:val="20"/>
        </w:rPr>
        <w:t>[Secuencia de registro y despacho de un expediente]</w:t>
      </w:r>
    </w:p>
    <w:p>
      <w:pPr>
        <w:keepNext/>
        <w:keepLines/>
        <w:jc w:val="center"/>
      </w:pPr>
      <w:r>
        <w:drawing>
          <wp:inline xmlns:a="http://schemas.openxmlformats.org/drawingml/2006/main" xmlns:pic="http://schemas.openxmlformats.org/drawingml/2006/picture">
            <wp:extent cx="5040000" cy="3856847"/>
            <wp:docPr id="11" name="Picture 11"/>
            <wp:cNvGraphicFramePr>
              <a:graphicFrameLocks noChangeAspect="1"/>
            </wp:cNvGraphicFramePr>
            <a:graphic>
              <a:graphicData uri="http://schemas.openxmlformats.org/drawingml/2006/picture">
                <pic:pic>
                  <pic:nvPicPr>
                    <pic:cNvPr id="0" name="07_secuencia_registro_despacho.png"/>
                    <pic:cNvPicPr/>
                  </pic:nvPicPr>
                  <pic:blipFill>
                    <a:blip r:embed="rId19"/>
                    <a:stretch>
                      <a:fillRect/>
                    </a:stretch>
                  </pic:blipFill>
                  <pic:spPr>
                    <a:xfrm>
                      <a:off x="0" y="0"/>
                      <a:ext cx="5040000" cy="385684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6"/>
          <w:pgSz w:w="12240" w:h="15840"/>
          <w:pgMar w:top="1701" w:right="1701" w:bottom="1701" w:left="2268" w:header="720" w:footer="720" w:gutter="0"/>
          <w:cols w:space="720"/>
          <w:docGrid w:linePitch="360"/>
          <w:pgNumType w:fmt="decimal"/>
        </w:sectPr>
      </w:pPr>
    </w:p>
    <w:p>
      <w:bookmarkStart w:id="35" w:name="bm_anexoG"/>
      <w:pPr>
        <w:keepNext/>
        <w:keepLines/>
        <w:spacing w:before="0" w:after="480"/>
        <w:jc w:val="center"/>
      </w:pPr>
      <w:bookmarkEnd w:id="35"/>
      <w:r>
        <w:rPr>
          <w:rFonts w:ascii="Times New Roman" w:hAnsi="Times New Roman"/>
          <w:b/>
          <w:sz w:val="20"/>
        </w:rPr>
        <w:t>ANEXO G</w:t>
      </w:r>
    </w:p>
    <w:p>
      <w:pPr>
        <w:keepNext/>
        <w:keepLines/>
        <w:spacing w:before="240" w:after="480"/>
        <w:jc w:val="center"/>
      </w:pPr>
      <w:r>
        <w:rPr>
          <w:rFonts w:ascii="Times New Roman" w:hAnsi="Times New Roman"/>
          <w:b/>
          <w:sz w:val="20"/>
        </w:rPr>
        <w:t>[Estados del expediente]</w:t>
      </w:r>
    </w:p>
    <w:p>
      <w:pPr>
        <w:keepNext/>
        <w:keepLines/>
        <w:jc w:val="center"/>
      </w:pPr>
      <w:r>
        <w:drawing>
          <wp:inline xmlns:a="http://schemas.openxmlformats.org/drawingml/2006/main" xmlns:pic="http://schemas.openxmlformats.org/drawingml/2006/picture">
            <wp:extent cx="5040000" cy="2401030"/>
            <wp:docPr id="12" name="Picture 12"/>
            <wp:cNvGraphicFramePr>
              <a:graphicFrameLocks noChangeAspect="1"/>
            </wp:cNvGraphicFramePr>
            <a:graphic>
              <a:graphicData uri="http://schemas.openxmlformats.org/drawingml/2006/picture">
                <pic:pic>
                  <pic:nvPicPr>
                    <pic:cNvPr id="0" name="08_estados_expediente.png"/>
                    <pic:cNvPicPr/>
                  </pic:nvPicPr>
                  <pic:blipFill>
                    <a:blip r:embed="rId20"/>
                    <a:stretch>
                      <a:fillRect/>
                    </a:stretch>
                  </pic:blipFill>
                  <pic:spPr>
                    <a:xfrm>
                      <a:off x="0" y="0"/>
                      <a:ext cx="5040000" cy="240103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7"/>
          <w:pgSz w:w="12240" w:h="15840"/>
          <w:pgMar w:top="1701" w:right="1701" w:bottom="1701" w:left="2268" w:header="720" w:footer="720" w:gutter="0"/>
          <w:cols w:space="720"/>
          <w:docGrid w:linePitch="360"/>
          <w:pgNumType w:fmt="decimal"/>
        </w:sectPr>
      </w:pPr>
    </w:p>
    <w:p>
      <w:bookmarkStart w:id="36" w:name="bm_anexoH"/>
      <w:pPr>
        <w:keepNext/>
        <w:keepLines/>
        <w:spacing w:before="0" w:after="480"/>
        <w:jc w:val="center"/>
      </w:pPr>
      <w:bookmarkEnd w:id="36"/>
      <w:r>
        <w:rPr>
          <w:rFonts w:ascii="Times New Roman" w:hAnsi="Times New Roman"/>
          <w:b/>
          <w:sz w:val="20"/>
        </w:rPr>
        <w:t>ANEXO H</w:t>
      </w:r>
    </w:p>
    <w:p>
      <w:pPr>
        <w:keepNext/>
        <w:keepLines/>
        <w:spacing w:before="240" w:after="480"/>
        <w:jc w:val="center"/>
      </w:pPr>
      <w:r>
        <w:rPr>
          <w:rFonts w:ascii="Times New Roman" w:hAnsi="Times New Roman"/>
          <w:b/>
          <w:sz w:val="20"/>
        </w:rPr>
        <w:t>[Mapa de módulos de la interfaz]</w:t>
      </w:r>
    </w:p>
    <w:p>
      <w:pPr>
        <w:keepNext/>
        <w:keepLines/>
        <w:jc w:val="center"/>
      </w:pPr>
      <w:r>
        <w:drawing>
          <wp:inline xmlns:a="http://schemas.openxmlformats.org/drawingml/2006/main" xmlns:pic="http://schemas.openxmlformats.org/drawingml/2006/picture">
            <wp:extent cx="2027283" cy="5400000"/>
            <wp:docPr id="13" name="Picture 13"/>
            <wp:cNvGraphicFramePr>
              <a:graphicFrameLocks noChangeAspect="1"/>
            </wp:cNvGraphicFramePr>
            <a:graphic>
              <a:graphicData uri="http://schemas.openxmlformats.org/drawingml/2006/picture">
                <pic:pic>
                  <pic:nvPicPr>
                    <pic:cNvPr id="0" name="11_mapa_modulos_interfaz.png"/>
                    <pic:cNvPicPr/>
                  </pic:nvPicPr>
                  <pic:blipFill>
                    <a:blip r:embed="rId21"/>
                    <a:stretch>
                      <a:fillRect/>
                    </a:stretch>
                  </pic:blipFill>
                  <pic:spPr>
                    <a:xfrm>
                      <a:off x="0" y="0"/>
                      <a:ext cx="2027283"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8"/>
          <w:pgSz w:w="12240" w:h="15840"/>
          <w:pgMar w:top="1701" w:right="1701" w:bottom="1701" w:left="2268" w:header="720" w:footer="720" w:gutter="0"/>
          <w:cols w:space="720"/>
          <w:docGrid w:linePitch="360"/>
          <w:pgNumType w:fmt="decimal"/>
        </w:sectPr>
      </w:pPr>
    </w:p>
    <w:p>
      <w:bookmarkStart w:id="37" w:name="bm_anexoI"/>
      <w:pPr>
        <w:keepNext/>
        <w:keepLines/>
        <w:spacing w:before="0" w:after="480"/>
        <w:jc w:val="center"/>
      </w:pPr>
      <w:bookmarkEnd w:id="37"/>
      <w:r>
        <w:rPr>
          <w:rFonts w:ascii="Times New Roman" w:hAnsi="Times New Roman"/>
          <w:b/>
          <w:sz w:val="20"/>
        </w:rPr>
        <w:t>ANEXO I</w:t>
      </w:r>
    </w:p>
    <w:p>
      <w:pPr>
        <w:keepNext/>
        <w:keepLines/>
        <w:spacing w:before="240" w:after="480"/>
        <w:jc w:val="center"/>
      </w:pPr>
      <w:r>
        <w:rPr>
          <w:rFonts w:ascii="Times New Roman" w:hAnsi="Times New Roman"/>
          <w:b/>
          <w:sz w:val="20"/>
        </w:rPr>
        <w:t>[Proceso de respaldo periódico de SQLite]</w:t>
      </w:r>
    </w:p>
    <w:p>
      <w:pPr>
        <w:keepNext/>
        <w:keepLines/>
        <w:jc w:val="center"/>
      </w:pPr>
      <w:r>
        <w:drawing>
          <wp:inline xmlns:a="http://schemas.openxmlformats.org/drawingml/2006/main" xmlns:pic="http://schemas.openxmlformats.org/drawingml/2006/picture">
            <wp:extent cx="2883349" cy="5400000"/>
            <wp:docPr id="14" name="Picture 14"/>
            <wp:cNvGraphicFramePr>
              <a:graphicFrameLocks noChangeAspect="1"/>
            </wp:cNvGraphicFramePr>
            <a:graphic>
              <a:graphicData uri="http://schemas.openxmlformats.org/drawingml/2006/picture">
                <pic:pic>
                  <pic:nvPicPr>
                    <pic:cNvPr id="0" name="12_proceso_respaldo_sqlite.png"/>
                    <pic:cNvPicPr/>
                  </pic:nvPicPr>
                  <pic:blipFill>
                    <a:blip r:embed="rId22"/>
                    <a:stretch>
                      <a:fillRect/>
                    </a:stretch>
                  </pic:blipFill>
                  <pic:spPr>
                    <a:xfrm>
                      <a:off x="0" y="0"/>
                      <a:ext cx="2883349"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sectPr w:rsidR="00FC693F" w:rsidRPr="0006063C" w:rsidSect="00034616">
      <w:footerReference w:type="default" r:id="rId49"/>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footer" Target="footer4.xml"/><Relationship Id="rId27" Type="http://schemas.openxmlformats.org/officeDocument/2006/relationships/footer" Target="footer5.xml"/><Relationship Id="rId28" Type="http://schemas.openxmlformats.org/officeDocument/2006/relationships/footer" Target="footer6.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er" Target="footer10.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footer" Target="footer13.xml"/><Relationship Id="rId36" Type="http://schemas.openxmlformats.org/officeDocument/2006/relationships/footer" Target="footer14.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footer" Target="footer17.xml"/><Relationship Id="rId40" Type="http://schemas.openxmlformats.org/officeDocument/2006/relationships/footer" Target="footer18.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footer" Target="footer22.xml"/><Relationship Id="rId45" Type="http://schemas.openxmlformats.org/officeDocument/2006/relationships/footer" Target="footer23.xml"/><Relationship Id="rId46" Type="http://schemas.openxmlformats.org/officeDocument/2006/relationships/footer" Target="footer24.xml"/><Relationship Id="rId47" Type="http://schemas.openxmlformats.org/officeDocument/2006/relationships/footer" Target="footer25.xml"/><Relationship Id="rId48" Type="http://schemas.openxmlformats.org/officeDocument/2006/relationships/footer" Target="footer26.xml"/><Relationship Id="rId49" Type="http://schemas.openxmlformats.org/officeDocument/2006/relationships/footer" Target="foot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