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7"/>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8"/>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del Departamento de Presidencia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del desarrollo del sistema automatizado</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Diagrama entidad-relación del módulo de expedientes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2"/>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DESARROLLO DE UN PROTOTIPO DE SISTEMA PARA EL CONTROL, TRAZABILIDAD Y REPORTE DOCUMENTAL EN LA PRESIDENCIA DE LA EMPRESA MIXTA PETROLERA VENANGOCUPET, S.A.</w:t>
      </w:r>
    </w:p>
    <w:p>
      <w:pPr>
        <w:spacing w:line="240" w:lineRule="auto" w:after="120"/>
        <w:ind w:left="0"/>
        <w:jc w:val="right"/>
      </w:pPr>
      <w:r>
        <w:rPr>
          <w:rFonts w:ascii="Times New Roman" w:hAnsi="Times New Roman"/>
          <w:b/>
          <w:sz w:val="24"/>
        </w:rPr>
        <w:t>Autor: Cardona, Juliano</w:t>
        <w:br/>
      </w:r>
      <w:r>
        <w:rPr>
          <w:rFonts w:ascii="Times New Roman" w:hAnsi="Times New Roman"/>
          <w:sz w:val="24"/>
        </w:rPr>
        <w:t>C.I.: 32.281.199</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33"/>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4"/>
          <w:footerReference w:type="first" r:id="rId35"/>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keepNext/>
        <w:keepLines/>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la Empresa Mixta Petrolera Venangocupet, S.A.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keepNext/>
        <w:keepLines/>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Referencia cartográfica de la ubicación de las oficinas administrativas de Venangocupet, 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Captura cartográfica de Google Maps (2026). La empresa no aparece rotulada de forma independiente; se emplea como referencia el Centro Comercial San Remo Mall.</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del Departamento de Presidencia.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keepNext/>
        <w:keepLines/>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Venangocupet, S.A.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pPr>
        <w:keepNext/>
        <w:keepLines/>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Presidencia.</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Empresa Mixta Petrolera Venangocupet, S.A.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los expedientes, catálogos, documentos asociados e historial de movimientos;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w:t>
      </w:r>
      <w:bookmarkEnd w:id="33"/>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del desarrollo del sistema automatizado.</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Sistemas de Información</w:t>
      </w:r>
      <w:bookmarkEnd w:id="36"/>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pStyle w:val="IUTECPTítulo2"/>
        <w:keepNext/>
        <w:keepLines/>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pStyle w:val="IUTECPTítulo2"/>
        <w:keepNext/>
        <w:keepLines/>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implementado, la tabla expedientes se relaciona mediante claves foráneas con los catálogos de gerencia, superintendencia, responsables, modalidad, estatus, resultado y empresa. Los documentos se asocian mediante una tabla intermedia, mientras que los frentes adicionales y el historial de movimientos mantienen relaciones uno a muchos (1:N) con cada expediente.</w:t>
      </w:r>
    </w:p>
    <w:p>
      <w:pPr>
        <w:spacing w:line="360" w:lineRule="auto" w:after="0" w:before="0"/>
        <w:ind w:firstLine="709"/>
        <w:jc w:val="both"/>
      </w:pPr>
      <w:r>
        <w:rPr>
          <w:rFonts w:ascii="Times New Roman" w:hAnsi="Times New Roman"/>
          <w:i w:val="0"/>
          <w:sz w:val="24"/>
        </w:rPr>
        <w:t>A juicio de quien suscribe, el modelo relacional resulta adecuado porque separa los datos maestros de los registros operativos y conserva la trazabilidad de cada expediente.</w:t>
      </w:r>
    </w:p>
    <w:p>
      <w:pPr>
        <w:pStyle w:val="IUTECPTítulo2"/>
        <w:keepNext/>
        <w:keepLines/>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expedientes, catálogos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pStyle w:val="IUTECPTítulo2"/>
        <w:keepNext/>
        <w:keepLines/>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pStyle w:val="IUTECPTítulo2"/>
        <w:keepNext/>
        <w:keepLines/>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pStyle w:val="IUTECPTítulo2"/>
        <w:keepNext/>
        <w:keepLines/>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7" w:name="bm_cap4"/>
      <w:pPr>
        <w:pStyle w:val="IUTECPCapítulo"/>
        <w:spacing w:before="480"/>
        <w:jc w:val="center"/>
      </w:pPr>
      <w:r>
        <w:rPr>
          <w:rFonts w:ascii="Times New Roman" w:hAnsi="Times New Roman"/>
          <w:b/>
          <w:sz w:val="24"/>
        </w:rPr>
        <w:t>ACTIVIDADES REALIZADAS</w:t>
      </w:r>
      <w:bookmarkEnd w:id="37"/>
    </w:p>
    <w:p>
      <w:bookmarkStart w:id="38"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8"/>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Validación de requerimientos con el tutor industrial, construcción del diagrama Entidad-Relación, normalización del esquema propuesto y elaboración del diccionario de datos.</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Implementación de la estructura relacional en SQLite, carga de registros de prueba, construcción de formularios de captura y programación de consultas de trazabilidad.</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Programación del entorno visual de escritorio, estructuración de los módulos de la interfaz y organización del código fuente del prototipo.</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Desarrollo de los módulos de consulta e historial de movimientos e integración de la visualización de expedientes asociados a cada proceso administrativo.</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Empaquetado de la aplicación de escritorio mediante Wails, integración del entorno visual y generación de un ejecutable autónomo para las pruebas funcionales del prototipo.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del informe de pasantías, elaboración del manual de usuario y organización técnica del código fuente y los entregables del prototipo.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39" w:name="bm_referencias"/>
      <w:pPr>
        <w:pStyle w:val="IUTECPPreliminar"/>
        <w:keepNext/>
        <w:keepLines/>
        <w:spacing w:before="1140" w:after="480"/>
        <w:jc w:val="center"/>
      </w:pPr>
      <w:r>
        <w:rPr>
          <w:rFonts w:ascii="Times New Roman" w:hAnsi="Times New Roman"/>
          <w:b/>
          <w:sz w:val="24"/>
        </w:rPr>
        <w:t>REFERENCIAS</w:t>
      </w:r>
      <w:bookmarkEnd w:id="39"/>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Codd, E. F. (1970). </w:t>
      </w:r>
      <w:r>
        <w:rPr>
          <w:rFonts w:ascii="Times New Roman" w:hAnsi="Times New Roman"/>
          <w:b/>
          <w:sz w:val="24"/>
        </w:rPr>
        <w:t>A relational model of data for large shared data banks</w:t>
      </w:r>
      <w:r>
        <w:rPr>
          <w:rFonts w:ascii="Times New Roman" w:hAnsi="Times New Roman"/>
          <w:b w:val="0"/>
          <w:sz w:val="24"/>
        </w:rPr>
        <w:t>. Communications of the ACM, 13(6), 377-387.</w:t>
      </w:r>
    </w:p>
    <w:p>
      <w:pPr>
        <w:spacing w:line="240" w:lineRule="auto" w:after="480" w:before="0"/>
        <w:ind w:left="425" w:hanging="425"/>
        <w:jc w:val="both"/>
      </w:pPr>
      <w:r>
        <w:rPr>
          <w:rFonts w:ascii="Times New Roman" w:hAnsi="Times New Roman"/>
          <w:b w:val="0"/>
          <w:sz w:val="24"/>
        </w:rPr>
        <w:t xml:space="preserve">Cruz Mundet, J. R. (2011). </w:t>
      </w:r>
      <w:r>
        <w:rPr>
          <w:rFonts w:ascii="Times New Roman" w:hAnsi="Times New Roman"/>
          <w:b/>
          <w:sz w:val="24"/>
        </w:rPr>
        <w:t>Administración de documentos y archivos: Textos fundamentales</w:t>
      </w:r>
      <w:r>
        <w:rPr>
          <w:rFonts w:ascii="Times New Roman" w:hAnsi="Times New Roman"/>
          <w:b w:val="0"/>
          <w:sz w:val="24"/>
        </w:rPr>
        <w:t>. Coordinadora de Asociaciones de Archiveros, España.</w:t>
      </w:r>
    </w:p>
    <w:p>
      <w:pPr>
        <w:spacing w:line="240" w:lineRule="auto" w:after="480" w:before="0"/>
        <w:ind w:left="425" w:hanging="425"/>
        <w:jc w:val="both"/>
      </w:pPr>
      <w:r>
        <w:rPr>
          <w:rFonts w:ascii="Times New Roman" w:hAnsi="Times New Roman"/>
          <w:b w:val="0"/>
          <w:sz w:val="24"/>
        </w:rPr>
        <w:t xml:space="preserve">Date, C. J. (2001). </w:t>
      </w:r>
      <w:r>
        <w:rPr>
          <w:rFonts w:ascii="Times New Roman" w:hAnsi="Times New Roman"/>
          <w:b/>
          <w:sz w:val="24"/>
        </w:rPr>
        <w:t>Introducción a los sistemas de bases de datos (7ma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Gómez, R. (2019). </w:t>
      </w:r>
      <w:r>
        <w:rPr>
          <w:rFonts w:ascii="Times New Roman" w:hAnsi="Times New Roman"/>
          <w:b/>
          <w:sz w:val="24"/>
        </w:rPr>
        <w:t>Gestión Documental y Sistemas</w:t>
      </w:r>
      <w:r>
        <w:rPr>
          <w:rFonts w:ascii="Times New Roman" w:hAnsi="Times New Roman"/>
          <w:b w:val="0"/>
          <w:sz w:val="24"/>
        </w:rPr>
        <w:t>. Editorial Trillas, México.</w:t>
      </w:r>
    </w:p>
    <w:p>
      <w:pPr>
        <w:spacing w:line="240" w:lineRule="auto" w:after="480" w:before="0"/>
        <w:ind w:left="425" w:hanging="425"/>
        <w:jc w:val="both"/>
      </w:pPr>
      <w:r>
        <w:rPr>
          <w:rFonts w:ascii="Times New Roman" w:hAnsi="Times New Roman"/>
          <w:b w:val="0"/>
          <w:sz w:val="24"/>
        </w:rPr>
        <w:t xml:space="preserve">Kendall, K., y Kendall, J. (2011). </w:t>
      </w:r>
      <w:r>
        <w:rPr>
          <w:rFonts w:ascii="Times New Roman" w:hAnsi="Times New Roman"/>
          <w:b/>
          <w:sz w:val="24"/>
        </w:rPr>
        <w:t>Análisis y diseño de sistemas (8va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Pressman, R. (2010). </w:t>
      </w:r>
      <w:r>
        <w:rPr>
          <w:rFonts w:ascii="Times New Roman" w:hAnsi="Times New Roman"/>
          <w:b/>
          <w:sz w:val="24"/>
        </w:rPr>
        <w:t>Ingeniería de Software: Un enfoque práctico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40" w:name="bm_anexos"/>
      <w:pPr>
        <w:spacing w:before="6075"/>
        <w:jc w:val="center"/>
      </w:pPr>
      <w:r>
        <w:rPr>
          <w:rFonts w:ascii="Times New Roman" w:hAnsi="Times New Roman"/>
          <w:b/>
          <w:sz w:val="24"/>
        </w:rPr>
        <w:t>ANEXOS</w:t>
      </w:r>
      <w:bookmarkEnd w:id="40"/>
    </w:p>
    <w:p>
      <w:pPr>
        <w:sectPr>
          <w:footerReference w:type="default" r:id="rId46"/>
          <w:pgSz w:w="12240" w:h="15840"/>
          <w:pgMar w:top="1701" w:right="1701" w:bottom="1701" w:left="2268" w:header="720" w:footer="720" w:gutter="0"/>
          <w:cols w:space="720"/>
          <w:docGrid w:linePitch="360"/>
          <w:pgNumType w:fmt="decimal"/>
        </w:sectPr>
      </w:pPr>
    </w:p>
    <w:p>
      <w:bookmarkStart w:id="41" w:name="bm_anexoA"/>
      <w:pPr>
        <w:keepNext/>
        <w:keepLines/>
        <w:spacing w:before="0" w:after="480"/>
        <w:jc w:val="center"/>
      </w:pPr>
      <w:bookmarkEnd w:id="41"/>
      <w:r>
        <w:rPr>
          <w:rFonts w:ascii="Times New Roman" w:hAnsi="Times New Roman"/>
          <w:b/>
          <w:sz w:val="20"/>
        </w:rPr>
        <w:t>ANEXO A</w:t>
      </w:r>
    </w:p>
    <w:p>
      <w:pPr>
        <w:keepNext/>
        <w:keepLines/>
        <w:spacing w:before="240" w:after="480"/>
        <w:jc w:val="center"/>
      </w:pPr>
      <w:r>
        <w:rPr>
          <w:rFonts w:ascii="Times New Roman" w:hAnsi="Times New Roman"/>
          <w:b/>
          <w:sz w:val="20"/>
        </w:rPr>
        <w:t>[Árbol del problema del control de movimientos documentales]</w:t>
      </w:r>
    </w:p>
    <w:p>
      <w:pPr>
        <w:keepNext/>
        <w:keepLines/>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B"/>
      <w:pPr>
        <w:keepNext/>
        <w:keepLines/>
        <w:spacing w:before="0" w:after="480"/>
        <w:jc w:val="center"/>
      </w:pPr>
      <w:bookmarkEnd w:id="42"/>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documental actual de Presidencia]</w:t>
      </w:r>
    </w:p>
    <w:p>
      <w:pPr>
        <w:keepNext/>
        <w:keepLines/>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3" w:name="bm_anexoC"/>
      <w:pPr>
        <w:keepNext/>
        <w:keepLines/>
        <w:spacing w:before="0" w:after="480"/>
        <w:jc w:val="center"/>
      </w:pPr>
      <w:bookmarkEnd w:id="43"/>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con el sistema automatizado]</w:t>
      </w:r>
    </w:p>
    <w:p>
      <w:pPr>
        <w:keepNext/>
        <w:keepLines/>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4" w:name="bm_anexoD"/>
      <w:pPr>
        <w:keepNext/>
        <w:keepLines/>
        <w:spacing w:before="0" w:after="480"/>
        <w:jc w:val="center"/>
      </w:pPr>
      <w:bookmarkEnd w:id="44"/>
      <w:r>
        <w:rPr>
          <w:rFonts w:ascii="Times New Roman" w:hAnsi="Times New Roman"/>
          <w:b/>
          <w:sz w:val="20"/>
        </w:rPr>
        <w:t>ANEXO D</w:t>
      </w:r>
    </w:p>
    <w:p>
      <w:pPr>
        <w:keepNext/>
        <w:keepLines/>
        <w:spacing w:before="240" w:after="480"/>
        <w:jc w:val="center"/>
      </w:pPr>
      <w:r>
        <w:rPr>
          <w:rFonts w:ascii="Times New Roman" w:hAnsi="Times New Roman"/>
          <w:b/>
          <w:sz w:val="20"/>
        </w:rPr>
        <w:t>[Diagrama entidad-relación del módulo de expedientes]</w:t>
      </w:r>
    </w:p>
    <w:p>
      <w:pPr>
        <w:keepNext/>
        <w:keepLines/>
        <w:jc w:val="center"/>
      </w:pPr>
      <w:r>
        <w:drawing>
          <wp:inline xmlns:a="http://schemas.openxmlformats.org/drawingml/2006/main" xmlns:pic="http://schemas.openxmlformats.org/drawingml/2006/picture">
            <wp:extent cx="5039999" cy="4452114"/>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5039999" cy="445211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a partir de expedientes_schema.sql (2026).</w:t>
      </w:r>
    </w:p>
    <w:p>
      <w:pPr>
        <w:sectPr>
          <w:footerReference w:type="default" r:id="rId50"/>
          <w:pgSz w:w="12240" w:h="15840"/>
          <w:pgMar w:top="1701" w:right="1701" w:bottom="1701" w:left="2268" w:header="720" w:footer="720" w:gutter="0"/>
          <w:cols w:space="720"/>
          <w:docGrid w:linePitch="360"/>
          <w:pgNumType w:fmt="decimal"/>
        </w:sectPr>
      </w:pPr>
    </w:p>
    <w:p>
      <w:bookmarkStart w:id="45" w:name="bm_anexoE"/>
      <w:pPr>
        <w:keepNext/>
        <w:keepLines/>
        <w:spacing w:before="0" w:after="480"/>
        <w:jc w:val="center"/>
      </w:pPr>
      <w:bookmarkEnd w:id="45"/>
      <w:r>
        <w:rPr>
          <w:rFonts w:ascii="Times New Roman" w:hAnsi="Times New Roman"/>
          <w:b/>
          <w:sz w:val="20"/>
        </w:rPr>
        <w:t>ANEXO E</w:t>
      </w:r>
    </w:p>
    <w:p>
      <w:pPr>
        <w:keepNext/>
        <w:keepLines/>
        <w:spacing w:before="240" w:after="480"/>
        <w:jc w:val="center"/>
      </w:pPr>
      <w:r>
        <w:rPr>
          <w:rFonts w:ascii="Times New Roman" w:hAnsi="Times New Roman"/>
          <w:b/>
          <w:sz w:val="20"/>
        </w:rPr>
        <w:t>[Arquitectura lógica del prototipo]</w:t>
      </w:r>
    </w:p>
    <w:p>
      <w:pPr>
        <w:keepNext/>
        <w:keepLines/>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6" w:name="bm_anexoF"/>
      <w:pPr>
        <w:keepNext/>
        <w:keepLines/>
        <w:spacing w:before="0" w:after="480"/>
        <w:jc w:val="center"/>
      </w:pPr>
      <w:bookmarkEnd w:id="46"/>
      <w:r>
        <w:rPr>
          <w:rFonts w:ascii="Times New Roman" w:hAnsi="Times New Roman"/>
          <w:b/>
          <w:sz w:val="20"/>
        </w:rPr>
        <w:t>ANEXO F</w:t>
      </w:r>
    </w:p>
    <w:p>
      <w:pPr>
        <w:keepNext/>
        <w:keepLines/>
        <w:spacing w:before="240" w:after="480"/>
        <w:jc w:val="center"/>
      </w:pPr>
      <w:r>
        <w:rPr>
          <w:rFonts w:ascii="Times New Roman" w:hAnsi="Times New Roman"/>
          <w:b/>
          <w:sz w:val="20"/>
        </w:rPr>
        <w:t>[Secuencia de registro y despacho de un expediente]</w:t>
      </w:r>
    </w:p>
    <w:p>
      <w:pPr>
        <w:keepNext/>
        <w:keepLines/>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47" w:name="bm_anexoG"/>
      <w:pPr>
        <w:keepNext/>
        <w:keepLines/>
        <w:spacing w:before="0" w:after="480"/>
        <w:jc w:val="center"/>
      </w:pPr>
      <w:bookmarkEnd w:id="47"/>
      <w:r>
        <w:rPr>
          <w:rFonts w:ascii="Times New Roman" w:hAnsi="Times New Roman"/>
          <w:b/>
          <w:sz w:val="20"/>
        </w:rPr>
        <w:t>ANEXO G</w:t>
      </w:r>
    </w:p>
    <w:p>
      <w:pPr>
        <w:keepNext/>
        <w:keepLines/>
        <w:spacing w:before="240" w:after="480"/>
        <w:jc w:val="center"/>
      </w:pPr>
      <w:r>
        <w:rPr>
          <w:rFonts w:ascii="Times New Roman" w:hAnsi="Times New Roman"/>
          <w:b/>
          <w:sz w:val="20"/>
        </w:rPr>
        <w:t>[Estados del expediente]</w:t>
      </w:r>
    </w:p>
    <w:p>
      <w:pPr>
        <w:keepNext/>
        <w:keepLines/>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48" w:name="bm_anexoH"/>
      <w:pPr>
        <w:keepNext/>
        <w:keepLines/>
        <w:spacing w:before="0" w:after="480"/>
        <w:jc w:val="center"/>
      </w:pPr>
      <w:bookmarkEnd w:id="48"/>
      <w:r>
        <w:rPr>
          <w:rFonts w:ascii="Times New Roman" w:hAnsi="Times New Roman"/>
          <w:b/>
          <w:sz w:val="20"/>
        </w:rPr>
        <w:t>ANEXO H</w:t>
      </w:r>
    </w:p>
    <w:p>
      <w:pPr>
        <w:keepNext/>
        <w:keepLines/>
        <w:spacing w:before="240" w:after="480"/>
        <w:jc w:val="center"/>
      </w:pPr>
      <w:r>
        <w:rPr>
          <w:rFonts w:ascii="Times New Roman" w:hAnsi="Times New Roman"/>
          <w:b/>
          <w:sz w:val="20"/>
        </w:rPr>
        <w:t>[Mapa de módulos de la interfaz]</w:t>
      </w:r>
    </w:p>
    <w:p>
      <w:pPr>
        <w:keepNext/>
        <w:keepLines/>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4"/>
          <w:pgSz w:w="12240" w:h="15840"/>
          <w:pgMar w:top="1701" w:right="1701" w:bottom="1701" w:left="2268" w:header="720" w:footer="720" w:gutter="0"/>
          <w:cols w:space="720"/>
          <w:docGrid w:linePitch="360"/>
          <w:pgNumType w:fmt="decimal"/>
        </w:sectPr>
      </w:pPr>
    </w:p>
    <w:p>
      <w:bookmarkStart w:id="49" w:name="bm_anexoI"/>
      <w:pPr>
        <w:keepNext/>
        <w:keepLines/>
        <w:spacing w:before="0" w:after="480"/>
        <w:jc w:val="center"/>
      </w:pPr>
      <w:bookmarkEnd w:id="49"/>
      <w:r>
        <w:rPr>
          <w:rFonts w:ascii="Times New Roman" w:hAnsi="Times New Roman"/>
          <w:b/>
          <w:sz w:val="20"/>
        </w:rPr>
        <w:t>ANEXO I</w:t>
      </w:r>
    </w:p>
    <w:p>
      <w:pPr>
        <w:keepNext/>
        <w:keepLines/>
        <w:spacing w:before="240" w:after="480"/>
        <w:jc w:val="center"/>
      </w:pPr>
      <w:r>
        <w:rPr>
          <w:rFonts w:ascii="Times New Roman" w:hAnsi="Times New Roman"/>
          <w:b/>
          <w:sz w:val="20"/>
        </w:rPr>
        <w:t>[Proceso de respaldo periódico de SQLite]</w:t>
      </w:r>
    </w:p>
    <w:p>
      <w:pPr>
        <w:keepNext/>
        <w:keepLines/>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5"/>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