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22"/>
          <w:pgSz w:w="12240" w:h="15840"/>
          <w:pgMar w:top="1701" w:right="1701" w:bottom="1701" w:left="2268" w:header="720" w:footer="720" w:gutter="0"/>
          <w:cols w:space="720"/>
          <w:docGrid w:linePitch="360"/>
          <w:pgNumType w:fmt="lowerRoman" w:start="1"/>
        </w:sectPr>
      </w:pPr>
    </w:p>
    <w:p>
      <w:bookmarkStart w:id="0" w:name="bm_contraportada"/>
      <w:pPr>
        <w:spacing w:line="240"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bookmarkEnd w:id="0"/>
    </w:p>
    <w:p>
      <w:pPr>
        <w:spacing w:line="276" w:lineRule="auto" w:before="1280" w:after="0"/>
        <w:jc w:val="center"/>
      </w:pPr>
      <w:r>
        <w:rPr>
          <w:rFonts w:ascii="Times New Roman" w:hAnsi="Times New Roman"/>
          <w:b/>
          <w:sz w:val="24"/>
        </w:rPr>
        <w:t>PROPUESTA DE SIMPLIFICACIÓN ADMINISTRATIVA DE LA PROCURA EN LUBRICANTES Y EQUIPOS VARYNA, C.A.</w:t>
      </w:r>
    </w:p>
    <w:p>
      <w:pPr>
        <w:spacing w:line="276" w:lineRule="auto" w:before="440" w:after="0"/>
        <w:jc w:val="center"/>
      </w:pPr>
      <w:r>
        <w:rPr>
          <w:rFonts w:ascii="Times New Roman" w:hAnsi="Times New Roman"/>
          <w:b/>
          <w:sz w:val="24"/>
        </w:rPr>
        <w:t>Informe de pasantías para obtener el título de Técnico Superior Universitario en la especialidad de: Administración</w:t>
      </w:r>
    </w:p>
    <w:p>
      <w:pPr>
        <w:spacing w:before="2100"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40"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40"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800" w:after="0"/>
        <w:jc w:val="center"/>
      </w:pPr>
      <w:r>
        <w:rPr>
          <w:rFonts w:ascii="Times New Roman" w:hAnsi="Times New Roman"/>
          <w:sz w:val="24"/>
        </w:rPr>
        <w:t>El Tigre, agosto de 2026</w:t>
      </w:r>
    </w:p>
    <w:p>
      <w:pPr>
        <w:sectPr>
          <w:footerReference w:type="default" r:id="rId23"/>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1" w:name="bm_aprob_ind"/>
      <w:pPr>
        <w:spacing w:before="480" w:after="480"/>
        <w:jc w:val="center"/>
      </w:pPr>
      <w:r>
        <w:rPr>
          <w:rFonts w:ascii="Times New Roman" w:hAnsi="Times New Roman"/>
          <w:b/>
          <w:sz w:val="24"/>
        </w:rPr>
        <w:t>APROBACIÓN DEL TUTOR INDUSTRIAL</w:t>
      </w:r>
      <w:bookmarkEnd w:id="1"/>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14 días del mes de agosto de 2026</w:t>
      </w:r>
    </w:p>
    <w:p/>
    <w:p>
      <w:pPr>
        <w:jc w:val="center"/>
      </w:pPr>
      <w:r>
        <w:drawing>
          <wp:inline xmlns:a="http://schemas.openxmlformats.org/drawingml/2006/main" xmlns:pic="http://schemas.openxmlformats.org/drawingml/2006/picture">
            <wp:extent cx="1440000" cy="853254"/>
            <wp:docPr id="2" name="Picture 2"/>
            <wp:cNvGraphicFramePr>
              <a:graphicFrameLocks noChangeAspect="1"/>
            </wp:cNvGraphicFramePr>
            <a:graphic>
              <a:graphicData uri="http://schemas.openxmlformats.org/drawingml/2006/picture">
                <pic:pic>
                  <pic:nvPicPr>
                    <pic:cNvPr id="0" name="firma_tutor_keidy.png"/>
                    <pic:cNvPicPr/>
                  </pic:nvPicPr>
                  <pic:blipFill>
                    <a:blip r:embed="rId10"/>
                    <a:stretch>
                      <a:fillRect/>
                    </a:stretch>
                  </pic:blipFill>
                  <pic:spPr>
                    <a:xfrm>
                      <a:off x="0" y="0"/>
                      <a:ext cx="1440000" cy="853254"/>
                    </a:xfrm>
                    <a:prstGeom prst="rect"/>
                  </pic:spPr>
                </pic:pic>
              </a:graphicData>
            </a:graphic>
          </wp:inline>
        </w:drawing>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24"/>
          <w:pgSz w:w="12240" w:h="15840"/>
          <w:pgMar w:top="1701" w:right="1701" w:bottom="1701" w:left="2268" w:header="720" w:footer="720" w:gutter="0"/>
          <w:cols w:space="720"/>
          <w:docGrid w:linePitch="360"/>
          <w:pgNumType w:fmt="lowerRoman"/>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2" w:name="bm_aprob_acad"/>
      <w:pPr>
        <w:spacing w:before="480" w:after="480"/>
        <w:jc w:val="center"/>
      </w:pPr>
      <w:r>
        <w:rPr>
          <w:rFonts w:ascii="Times New Roman" w:hAnsi="Times New Roman"/>
          <w:b/>
          <w:sz w:val="24"/>
        </w:rPr>
        <w:t>APROBACIÓN DEL TUTOR ACADÉMICO</w:t>
      </w:r>
      <w:bookmarkEnd w:id="2"/>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drawing>
          <wp:inline xmlns:a="http://schemas.openxmlformats.org/drawingml/2006/main" xmlns:pic="http://schemas.openxmlformats.org/drawingml/2006/picture">
            <wp:extent cx="1440000" cy="1077989"/>
            <wp:docPr id="3" name="Picture 3"/>
            <wp:cNvGraphicFramePr>
              <a:graphicFrameLocks noChangeAspect="1"/>
            </wp:cNvGraphicFramePr>
            <a:graphic>
              <a:graphicData uri="http://schemas.openxmlformats.org/drawingml/2006/picture">
                <pic:pic>
                  <pic:nvPicPr>
                    <pic:cNvPr id="0" name="firma_tutor_academico.png"/>
                    <pic:cNvPicPr/>
                  </pic:nvPicPr>
                  <pic:blipFill>
                    <a:blip r:embed="rId11"/>
                    <a:stretch>
                      <a:fillRect/>
                    </a:stretch>
                  </pic:blipFill>
                  <pic:spPr>
                    <a:xfrm>
                      <a:off x="0" y="0"/>
                      <a:ext cx="1440000" cy="1077989"/>
                    </a:xfrm>
                    <a:prstGeom prst="rect"/>
                  </pic:spPr>
                </pic:pic>
              </a:graphicData>
            </a:graphic>
          </wp:inline>
        </w:drawing>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25"/>
          <w:pgSz w:w="12240" w:h="15840"/>
          <w:pgMar w:top="1701" w:right="1701" w:bottom="1701" w:left="2268" w:header="720" w:footer="720" w:gutter="0"/>
          <w:cols w:space="720"/>
          <w:docGrid w:linePitch="360"/>
          <w:pgNumType w:fmt="lowerRoman"/>
        </w:sectPr>
      </w:pPr>
    </w:p>
    <w:p>
      <w:bookmarkStart w:id="3" w:name="bm_agradecimientos"/>
      <w:pPr>
        <w:pStyle w:val="IUTECPPreliminar"/>
        <w:keepNext/>
        <w:keepLines/>
        <w:spacing w:before="1140" w:after="480"/>
        <w:jc w:val="center"/>
      </w:pPr>
      <w:r>
        <w:rPr>
          <w:rFonts w:ascii="Times New Roman" w:hAnsi="Times New Roman"/>
          <w:b/>
          <w:sz w:val="24"/>
        </w:rPr>
        <w:t>AGRADECIMIENTOS</w:t>
      </w:r>
      <w:bookmarkEnd w:id="3"/>
    </w:p>
    <w:p>
      <w:pPr>
        <w:spacing w:line="360" w:lineRule="auto" w:after="0" w:before="0"/>
        <w:ind w:firstLine="709"/>
        <w:jc w:val="both"/>
      </w:pPr>
      <w:r>
        <w:rPr>
          <w:rFonts w:ascii="Times New Roman" w:hAnsi="Times New Roman"/>
          <w:i w:val="0"/>
          <w:sz w:val="24"/>
        </w:rPr>
        <w:t>Agradezco al Instituto Universitario de Tecnología "Elías Calixto Pompa" (IUTECP) por los conocimientos y orientaciones brindados durante mi formación; a Lubricantes y Equipos Varyna, C.A., por permitirme realizar las pasantías profesionales en su Departamento Administrativo y conocer de manera directa sus procesos de procura; a mi tutora académica, Dra. Carmen J. Álvarez, y a mi tutora industrial, Martina Rondón, por sus observaciones, acompañamiento y disposición durante el desarrollo del informe; y a todas las personas que colaboraron conmigo durante este período, por su apoyo y por los aprendizajes compartidos.</w:t>
      </w:r>
    </w:p>
    <w:p>
      <w:pPr>
        <w:sectPr>
          <w:footerReference w:type="default" r:id="rId26"/>
          <w:pgSz w:w="12240" w:h="15840"/>
          <w:pgMar w:top="1701" w:right="1701" w:bottom="1701" w:left="2268" w:header="720" w:footer="720" w:gutter="0"/>
          <w:cols w:space="720"/>
          <w:docGrid w:linePitch="360"/>
          <w:pgNumType w:fmt="lowerRoman"/>
        </w:sectPr>
      </w:pPr>
    </w:p>
    <w:p>
      <w:bookmarkStart w:id="4" w:name="bm_dedicatoria"/>
      <w:pPr>
        <w:pStyle w:val="IUTECPPreliminar"/>
        <w:keepNext/>
        <w:keepLines/>
        <w:spacing w:before="1140" w:after="480"/>
        <w:jc w:val="center"/>
      </w:pPr>
      <w:r>
        <w:rPr>
          <w:rFonts w:ascii="Times New Roman" w:hAnsi="Times New Roman"/>
          <w:b/>
          <w:sz w:val="24"/>
        </w:rPr>
        <w:t>DEDICATORIA</w:t>
      </w:r>
      <w:bookmarkEnd w:id="4"/>
    </w:p>
    <w:p>
      <w:pPr>
        <w:spacing w:line="360" w:lineRule="auto" w:after="0" w:before="0"/>
        <w:ind w:firstLine="709"/>
        <w:jc w:val="both"/>
      </w:pPr>
      <w:r>
        <w:rPr>
          <w:rFonts w:ascii="Times New Roman" w:hAnsi="Times New Roman"/>
          <w:i w:val="0"/>
          <w:sz w:val="24"/>
        </w:rPr>
        <w:t>A mi familia, por acompañarme con paciencia, apoyo y motivación durante mi formación académica y en cada etapa de estas pasantías. Dedico especialmente este logro a quienes han confiado en mí y me han impulsado a continuar creciendo personal y profesionalmente.</w:t>
      </w:r>
    </w:p>
    <w:p>
      <w:pPr>
        <w:sectPr>
          <w:footerReference w:type="default" r:id="rId27"/>
          <w:pgSz w:w="12240" w:h="15840"/>
          <w:pgMar w:top="1701" w:right="1701" w:bottom="1701" w:left="2268" w:header="720" w:footer="720" w:gutter="0"/>
          <w:cols w:space="720"/>
          <w:docGrid w:linePitch="360"/>
          <w:pgNumType w:fmt="lowerRoman"/>
        </w:sectPr>
      </w:pPr>
    </w:p>
    <w:p>
      <w:bookmarkStart w:id="5" w:name="bm_indice"/>
      <w:pPr>
        <w:pStyle w:val="IUTECPPreliminar"/>
        <w:keepNext/>
        <w:keepLines/>
        <w:spacing w:before="1140" w:after="480"/>
        <w:jc w:val="center"/>
      </w:pPr>
      <w:r>
        <w:rPr>
          <w:rFonts w:ascii="Times New Roman" w:hAnsi="Times New Roman"/>
          <w:b/>
          <w:sz w:val="24"/>
        </w:rPr>
        <w:t>ÍNDICE DE CONTENIDO</w:t>
      </w:r>
      <w:bookmarkEnd w:id="5"/>
    </w:p>
    <w:p>
      <w:pPr>
        <w:spacing w:after="240"/>
        <w:jc w:val="right"/>
      </w:pPr>
      <w:r>
        <w:rPr>
          <w:rFonts w:ascii="Times New Roman" w:hAnsi="Times New Roman"/>
          <w:b/>
          <w:sz w:val="24"/>
        </w:rPr>
        <w:t>pp.</w:t>
      </w:r>
    </w:p>
    <w:p>
      <w:pPr>
        <w:keepLines/>
        <w:tabs>
          <w:tab w:pos="8271" w:val="right" w:leader="dot"/>
        </w:tabs>
        <w:spacing w:line="360" w:lineRule="auto" w:before="0" w:after="80"/>
        <w:ind w:left="0"/>
      </w:pPr>
      <w:r>
        <w:rPr>
          <w:rFonts w:ascii="Times New Roman" w:hAnsi="Times New Roman"/>
          <w:b w:val="0"/>
          <w:sz w:val="24"/>
        </w:rPr>
        <w:t>CONTRAPORTADA</w:t>
        <w:tab/>
      </w:r>
      <w:r>
        <w:rPr>
          <w:rFonts w:ascii="Times New Roman" w:hAnsi="Times New Roman"/>
          <w:b w:val="0"/>
          <w:sz w:val="24"/>
        </w:rPr>
        <w:t>ii</w:t>
      </w:r>
    </w:p>
    <w:p>
      <w:pPr>
        <w:keepLines/>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t>iii</w:t>
      </w:r>
    </w:p>
    <w:p>
      <w:pPr>
        <w:keepLines/>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t>iv</w:t>
      </w:r>
    </w:p>
    <w:p>
      <w:pPr>
        <w:keepLines/>
        <w:tabs>
          <w:tab w:pos="8271" w:val="right" w:leader="dot"/>
        </w:tabs>
        <w:spacing w:line="360" w:lineRule="auto" w:before="0" w:after="80"/>
        <w:ind w:left="0"/>
      </w:pPr>
      <w:r>
        <w:rPr>
          <w:rFonts w:ascii="Times New Roman" w:hAnsi="Times New Roman"/>
          <w:b w:val="0"/>
          <w:sz w:val="24"/>
        </w:rPr>
        <w:t>AGRADECIMIENTOS</w:t>
        <w:tab/>
      </w:r>
      <w:r>
        <w:rPr>
          <w:rFonts w:ascii="Times New Roman" w:hAnsi="Times New Roman"/>
          <w:b w:val="0"/>
          <w:sz w:val="24"/>
        </w:rPr>
        <w:t>v</w:t>
      </w:r>
    </w:p>
    <w:p>
      <w:pPr>
        <w:keepLines/>
        <w:tabs>
          <w:tab w:pos="8271" w:val="right" w:leader="dot"/>
        </w:tabs>
        <w:spacing w:line="360" w:lineRule="auto" w:before="0" w:after="80"/>
        <w:ind w:left="0"/>
      </w:pPr>
      <w:r>
        <w:rPr>
          <w:rFonts w:ascii="Times New Roman" w:hAnsi="Times New Roman"/>
          <w:b w:val="0"/>
          <w:sz w:val="24"/>
        </w:rPr>
        <w:t>DEDICATORIA</w:t>
        <w:tab/>
      </w:r>
      <w:r>
        <w:rPr>
          <w:rFonts w:ascii="Times New Roman" w:hAnsi="Times New Roman"/>
          <w:b w:val="0"/>
          <w:sz w:val="24"/>
        </w:rPr>
        <w:t>vi</w:t>
      </w:r>
    </w:p>
    <w:p>
      <w:pPr>
        <w:keepLines/>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t>ix</w:t>
      </w:r>
    </w:p>
    <w:p>
      <w:pPr>
        <w:keepLines/>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t>x</w:t>
      </w:r>
    </w:p>
    <w:p>
      <w:pPr>
        <w:keepLines/>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t>xi</w:t>
      </w:r>
    </w:p>
    <w:p>
      <w:pPr>
        <w:keepLines/>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t>xii</w:t>
      </w:r>
    </w:p>
    <w:p>
      <w:pPr>
        <w:keepLines/>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keepNext/>
        <w:keepLines/>
        <w:spacing w:before="240" w:after="120"/>
      </w:pPr>
      <w:r>
        <w:rPr>
          <w:b/>
        </w:rPr>
        <w:t>CAPÍTULOS</w:t>
      </w:r>
    </w:p>
    <w:p>
      <w:pPr>
        <w:keepLines/>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del departamento donde realizó la pasantía</w:t>
        <w:tab/>
      </w:r>
      <w:r>
        <w:rPr>
          <w:rFonts w:ascii="Times New Roman" w:hAnsi="Times New Roman"/>
          <w:b w:val="0"/>
          <w:sz w:val="24"/>
        </w:rPr>
        <w:fldChar w:fldCharType="begin"/>
        <w:instrText xml:space="preserve"> PAGEREF bm_cap1_departamento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keepLines/>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keepLines/>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28"/>
          <w:pgSz w:w="12240" w:h="15840"/>
          <w:pgMar w:top="1701" w:right="1701" w:bottom="1701" w:left="2268" w:header="720" w:footer="720" w:gutter="0"/>
          <w:cols w:space="720"/>
          <w:docGrid w:linePitch="360"/>
          <w:pgNumType w:fmt="lowerRoman"/>
        </w:sectPr>
      </w:pPr>
    </w:p>
    <w:p>
      <w:bookmarkStart w:id="6" w:name="bm_lista_cuadros"/>
      <w:pPr>
        <w:pStyle w:val="IUTECPPreliminar"/>
        <w:keepNext/>
        <w:keepLines/>
        <w:spacing w:before="1140" w:after="480"/>
        <w:jc w:val="center"/>
      </w:pPr>
      <w:r>
        <w:rPr>
          <w:rFonts w:ascii="Times New Roman" w:hAnsi="Times New Roman"/>
          <w:b/>
          <w:sz w:val="24"/>
        </w:rPr>
        <w:t>LISTA DE CUADROS</w:t>
      </w:r>
      <w:bookmarkEnd w:id="6"/>
    </w:p>
    <w:p>
      <w:pPr>
        <w:keepNext/>
        <w:keepLines/>
        <w:tabs>
          <w:tab w:pos="8271" w:val="right"/>
        </w:tabs>
        <w:spacing w:before="240" w:after="240"/>
      </w:pPr>
      <w:r>
        <w:rPr>
          <w:rFonts w:ascii="Times New Roman" w:hAnsi="Times New Roman"/>
          <w:b/>
          <w:sz w:val="24"/>
        </w:rPr>
        <w:t>CUADRO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Población de los trabajadores de la empresa</w:t>
        <w:tab/>
      </w:r>
      <w:r>
        <w:rPr>
          <w:rFonts w:ascii="Times New Roman" w:hAnsi="Times New Roman"/>
          <w:b w:val="0"/>
          <w:sz w:val="24"/>
        </w:rPr>
        <w:fldChar w:fldCharType="begin"/>
        <w:instrText xml:space="preserve"> PAGEREF bm_cuadro1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Planificación integral de objetivos específicos</w:t>
        <w:tab/>
      </w:r>
      <w:r>
        <w:rPr>
          <w:rFonts w:ascii="Times New Roman" w:hAnsi="Times New Roman"/>
          <w:b w:val="0"/>
          <w:sz w:val="24"/>
        </w:rPr>
        <w:fldChar w:fldCharType="begin"/>
        <w:instrText xml:space="preserve"> PAGEREF bm_cuadro2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Cronograma de actividades de la pasantía</w:t>
        <w:tab/>
      </w:r>
      <w:r>
        <w:rPr>
          <w:rFonts w:ascii="Times New Roman" w:hAnsi="Times New Roman"/>
          <w:b w:val="0"/>
          <w:sz w:val="24"/>
        </w:rPr>
        <w:fldChar w:fldCharType="begin"/>
        <w:instrText xml:space="preserve"> PAGEREF bm_cuadro3 \h </w:instrText>
        <w:fldChar w:fldCharType="separate"/>
        <w:t>?</w:t>
        <w:fldChar w:fldCharType="end"/>
      </w:r>
    </w:p>
    <w:p>
      <w:pPr>
        <w:sectPr>
          <w:footerReference w:type="default" r:id="rId29"/>
          <w:pgSz w:w="12240" w:h="15840"/>
          <w:pgMar w:top="1701" w:right="1701" w:bottom="1701" w:left="2268" w:header="720" w:footer="720" w:gutter="0"/>
          <w:cols w:space="720"/>
          <w:docGrid w:linePitch="360"/>
          <w:pgNumType w:fmt="lowerRoman"/>
        </w:sectPr>
      </w:pPr>
    </w:p>
    <w:p>
      <w:bookmarkStart w:id="7" w:name="bm_lista_graficos"/>
      <w:pPr>
        <w:pStyle w:val="IUTECPPreliminar"/>
        <w:keepNext/>
        <w:keepLines/>
        <w:spacing w:before="1140" w:after="480"/>
        <w:jc w:val="center"/>
      </w:pPr>
      <w:r>
        <w:rPr>
          <w:rFonts w:ascii="Times New Roman" w:hAnsi="Times New Roman"/>
          <w:b/>
          <w:sz w:val="24"/>
        </w:rPr>
        <w:t>LISTA DE GRÁFICOS</w:t>
      </w:r>
      <w:bookmarkEnd w:id="7"/>
    </w:p>
    <w:p>
      <w:pPr>
        <w:keepNext/>
        <w:keepLines/>
        <w:tabs>
          <w:tab w:pos="8271" w:val="right"/>
        </w:tabs>
        <w:spacing w:before="240" w:after="240"/>
      </w:pPr>
      <w:r>
        <w:rPr>
          <w:rFonts w:ascii="Times New Roman" w:hAnsi="Times New Roman"/>
          <w:b/>
          <w:sz w:val="24"/>
        </w:rPr>
        <w:t>GRÁFICO</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30"/>
          <w:pgSz w:w="12240" w:h="15840"/>
          <w:pgMar w:top="1701" w:right="1701" w:bottom="1701" w:left="2268" w:header="720" w:footer="720" w:gutter="0"/>
          <w:cols w:space="720"/>
          <w:docGrid w:linePitch="360"/>
          <w:pgNumType w:fmt="lowerRoman"/>
        </w:sectPr>
      </w:pPr>
    </w:p>
    <w:p>
      <w:bookmarkStart w:id="8" w:name="bm_lista_anexos"/>
      <w:pPr>
        <w:pStyle w:val="IUTECPPreliminar"/>
        <w:keepNext/>
        <w:keepLines/>
        <w:spacing w:before="1140" w:after="480"/>
        <w:jc w:val="center"/>
      </w:pPr>
      <w:r>
        <w:rPr>
          <w:rFonts w:ascii="Times New Roman" w:hAnsi="Times New Roman"/>
          <w:b/>
          <w:sz w:val="24"/>
        </w:rPr>
        <w:t>LISTA DE ANEXOS</w:t>
      </w:r>
      <w:bookmarkEnd w:id="8"/>
    </w:p>
    <w:p>
      <w:pPr>
        <w:keepNext/>
        <w:keepLines/>
        <w:tabs>
          <w:tab w:pos="8271" w:val="right"/>
        </w:tabs>
        <w:spacing w:before="240" w:after="240"/>
      </w:pPr>
      <w:r>
        <w:rPr>
          <w:rFonts w:ascii="Times New Roman" w:hAnsi="Times New Roman"/>
          <w:b/>
          <w:sz w:val="24"/>
        </w:rPr>
        <w:t>ANEXOS</w:t>
      </w:r>
      <w:r>
        <w:tab/>
      </w:r>
      <w:r>
        <w:rPr>
          <w:rFonts w:ascii="Times New Roman" w:hAnsi="Times New Roman"/>
          <w:b/>
          <w:sz w:val="24"/>
        </w:rPr>
        <w:t>pp.</w:t>
      </w:r>
    </w:p>
    <w:p>
      <w:pPr>
        <w:keepLines/>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B</w:t>
        <w:tab/>
        <w:t>Flujograma AS-IS del proceso actual de procura</w:t>
        <w:tab/>
      </w:r>
      <w:r>
        <w:rPr>
          <w:rFonts w:ascii="Times New Roman" w:hAnsi="Times New Roman"/>
          <w:b w:val="0"/>
          <w:sz w:val="24"/>
        </w:rPr>
        <w:fldChar w:fldCharType="begin"/>
        <w:instrText xml:space="preserve"> PAGEREF bm_anexoB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C</w:t>
        <w:tab/>
        <w:t>Flujograma TO-BE del proceso simplificado propuesto</w:t>
        <w:tab/>
      </w:r>
      <w:r>
        <w:rPr>
          <w:rFonts w:ascii="Times New Roman" w:hAnsi="Times New Roman"/>
          <w:b w:val="0"/>
          <w:sz w:val="24"/>
        </w:rPr>
        <w:fldChar w:fldCharType="begin"/>
        <w:instrText xml:space="preserve"> PAGEREF bm_anexoC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D</w:t>
        <w:tab/>
        <w:t>Swimlane del proceso propuesto de procura</w:t>
        <w:tab/>
      </w:r>
      <w:r>
        <w:rPr>
          <w:rFonts w:ascii="Times New Roman" w:hAnsi="Times New Roman"/>
          <w:b w:val="0"/>
          <w:sz w:val="24"/>
        </w:rPr>
        <w:fldChar w:fldCharType="begin"/>
        <w:instrText xml:space="preserve"> PAGEREF bm_anexoD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E</w:t>
        <w:tab/>
        <w:t>SIPOC del proceso de procura</w:t>
        <w:tab/>
      </w:r>
      <w:r>
        <w:rPr>
          <w:rFonts w:ascii="Times New Roman" w:hAnsi="Times New Roman"/>
          <w:b w:val="0"/>
          <w:sz w:val="24"/>
        </w:rPr>
        <w:fldChar w:fldCharType="begin"/>
        <w:instrText xml:space="preserve"> PAGEREF bm_anexoE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F</w:t>
        <w:tab/>
        <w:t>Matriz RACI propuesta del proceso de procura</w:t>
        <w:tab/>
      </w:r>
      <w:r>
        <w:rPr>
          <w:rFonts w:ascii="Times New Roman" w:hAnsi="Times New Roman"/>
          <w:b w:val="0"/>
          <w:sz w:val="24"/>
        </w:rPr>
        <w:fldChar w:fldCharType="begin"/>
        <w:instrText xml:space="preserve"> PAGEREF bm_anexoF \h </w:instrText>
        <w:fldChar w:fldCharType="separate"/>
        <w:t>?</w:t>
        <w:fldChar w:fldCharType="end"/>
      </w:r>
    </w:p>
    <w:p>
      <w:pPr>
        <w:keepLines/>
        <w:tabs>
          <w:tab w:pos="1020" w:val="left"/>
          <w:tab w:pos="8271" w:val="right" w:leader="dot"/>
        </w:tabs>
        <w:spacing w:line="360" w:lineRule="auto" w:before="0" w:after="80"/>
        <w:ind w:left="1020" w:hanging="1020"/>
      </w:pPr>
      <w:r>
        <w:rPr>
          <w:rFonts w:ascii="Times New Roman" w:hAnsi="Times New Roman"/>
          <w:sz w:val="24"/>
        </w:rPr>
        <w:t>G</w:t>
        <w:tab/>
        <w:t>Diagrama de Ishikawa definitivo de las causas asociadas a las demoras y pérdida de trazabilidad del proceso de procura</w:t>
        <w:tab/>
      </w:r>
      <w:r>
        <w:rPr>
          <w:rFonts w:ascii="Times New Roman" w:hAnsi="Times New Roman"/>
          <w:b w:val="0"/>
          <w:sz w:val="24"/>
        </w:rPr>
        <w:fldChar w:fldCharType="begin"/>
        <w:instrText xml:space="preserve"> PAGEREF bm_anexoG \h </w:instrText>
        <w:fldChar w:fldCharType="separate"/>
        <w:t>?</w:t>
        <w:fldChar w:fldCharType="end"/>
      </w:r>
    </w:p>
    <w:p>
      <w:pPr>
        <w:sectPr>
          <w:footerReference w:type="default" r:id="rId31"/>
          <w:pgSz w:w="12240" w:h="15840"/>
          <w:pgMar w:top="1701" w:right="1701" w:bottom="1701" w:left="2268" w:header="720" w:footer="720" w:gutter="0"/>
          <w:cols w:space="720"/>
          <w:docGrid w:linePitch="360"/>
          <w:pgNumType w:fmt="lowerRoman"/>
        </w:sectPr>
      </w:pPr>
    </w:p>
    <w:p>
      <w:pPr>
        <w:spacing w:line="240" w:lineRule="auto" w:after="0"/>
        <w:jc w:val="center"/>
      </w:pPr>
      <w:r>
        <w:rPr>
          <w:rFonts w:ascii="Times New Roman" w:hAnsi="Times New Roman"/>
          <w:b/>
          <w:sz w:val="24"/>
        </w:rPr>
        <w:t>REPÚBLICA BOLIVARIANA DE VENEZUELA</w:t>
      </w:r>
    </w:p>
    <w:p>
      <w:pPr>
        <w:spacing w:line="240" w:lineRule="auto" w:after="0"/>
        <w:jc w:val="center"/>
      </w:pPr>
      <w:r>
        <w:rPr>
          <w:rFonts w:ascii="Times New Roman" w:hAnsi="Times New Roman"/>
          <w:b/>
          <w:sz w:val="24"/>
        </w:rPr>
        <w:t>MINISTERIO DEL PODER POPULAR PARA LA EDUCACIÓN UNIVERSITARIA</w:t>
      </w:r>
    </w:p>
    <w:p>
      <w:pPr>
        <w:spacing w:line="240" w:lineRule="auto" w:after="0"/>
        <w:jc w:val="center"/>
      </w:pPr>
      <w:r>
        <w:rPr>
          <w:rFonts w:ascii="Times New Roman" w:hAnsi="Times New Roman"/>
          <w:b/>
          <w:sz w:val="24"/>
        </w:rPr>
        <w:t>INSTITUTO UNIVERSITARIO DE TECNOLOGÍA</w:t>
      </w:r>
    </w:p>
    <w:p>
      <w:pPr>
        <w:spacing w:line="240" w:lineRule="auto" w:after="0"/>
        <w:jc w:val="center"/>
      </w:pPr>
      <w:r>
        <w:rPr>
          <w:rFonts w:ascii="Times New Roman" w:hAnsi="Times New Roman"/>
          <w:b/>
          <w:sz w:val="24"/>
        </w:rPr>
        <w:t>"ELÍAS CALIXTO POMPA"</w:t>
      </w:r>
    </w:p>
    <w:p>
      <w:pPr>
        <w:spacing w:line="240" w:lineRule="auto" w:after="0"/>
        <w:jc w:val="center"/>
      </w:pPr>
      <w:r>
        <w:rPr>
          <w:rFonts w:ascii="Times New Roman" w:hAnsi="Times New Roman"/>
          <w:b/>
          <w:sz w:val="24"/>
        </w:rPr>
        <w:t>EL TIGRE, ESTADO ANZOÁTEGUI</w:t>
      </w:r>
    </w:p>
    <w:p>
      <w:pPr>
        <w:spacing w:line="240" w:lineRule="auto" w:after="120"/>
        <w:jc w:val="center"/>
      </w:pPr>
      <w:r>
        <w:rPr>
          <w:rFonts w:ascii="Times New Roman" w:hAnsi="Times New Roman"/>
          <w:b/>
          <w:sz w:val="24"/>
        </w:rPr>
        <w:t>PROPUESTA DE SIMPLIFICACIÓN ADMINISTRATIVA DE LA PROCURA EN LUBRICANTES Y EQUIPOS VARYNA, C.A.</w:t>
      </w:r>
    </w:p>
    <w:p>
      <w:pPr>
        <w:spacing w:line="240" w:lineRule="auto" w:after="120"/>
        <w:ind w:left="0"/>
        <w:jc w:val="right"/>
      </w:pPr>
      <w:r>
        <w:rPr>
          <w:rFonts w:ascii="Times New Roman" w:hAnsi="Times New Roman"/>
          <w:b/>
          <w:sz w:val="24"/>
        </w:rPr>
        <w:t>Autor: Guzmán, Keidy</w:t>
        <w:br/>
      </w:r>
      <w:r>
        <w:rPr>
          <w:rFonts w:ascii="Times New Roman" w:hAnsi="Times New Roman"/>
          <w:sz w:val="24"/>
        </w:rPr>
        <w:t>C.I.: 28.706.352</w:t>
        <w:br/>
      </w:r>
      <w:r>
        <w:rPr>
          <w:rFonts w:ascii="Times New Roman" w:hAnsi="Times New Roman"/>
          <w:sz w:val="24"/>
        </w:rPr>
        <w:t>agosto de 2026</w:t>
      </w:r>
    </w:p>
    <w:p>
      <w:bookmarkStart w:id="9" w:name="bm_resumen"/>
      <w:pPr>
        <w:spacing w:line="240" w:lineRule="auto" w:before="120" w:after="120"/>
        <w:jc w:val="center"/>
      </w:pPr>
      <w:r>
        <w:rPr>
          <w:rFonts w:ascii="Times New Roman" w:hAnsi="Times New Roman"/>
          <w:b/>
          <w:sz w:val="24"/>
        </w:rPr>
        <w:t>RESUMEN</w:t>
      </w:r>
      <w:bookmarkEnd w:id="9"/>
    </w:p>
    <w:p>
      <w:pPr>
        <w:spacing w:line="240" w:lineRule="auto" w:before="0" w:after="0"/>
        <w:ind w:firstLine="709"/>
        <w:jc w:val="both"/>
      </w:pPr>
      <w:r>
        <w:rPr>
          <w:rFonts w:ascii="Times New Roman" w:hAnsi="Times New Roman"/>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spacing w:line="240" w:lineRule="auto" w:before="0" w:after="0"/>
        <w:ind w:firstLine="709"/>
      </w:pPr>
      <w:r>
        <w:rPr>
          <w:rFonts w:ascii="Times New Roman" w:hAnsi="Times New Roman"/>
          <w:b/>
          <w:sz w:val="24"/>
        </w:rPr>
        <w:t xml:space="preserve">Palabras claves: </w:t>
      </w:r>
      <w:r>
        <w:rPr>
          <w:rFonts w:ascii="Times New Roman" w:hAnsi="Times New Roman"/>
          <w:sz w:val="24"/>
        </w:rPr>
        <w:t>procura, simplificación administrativa, control interno, requisiciones, pasantías</w:t>
      </w:r>
    </w:p>
    <w:p>
      <w:pPr>
        <w:sectPr>
          <w:footerReference w:type="default" r:id="rId32"/>
          <w:pgSz w:w="12240" w:h="15840"/>
          <w:pgMar w:top="1701" w:right="1701" w:bottom="1701" w:left="2268" w:header="720" w:footer="720" w:gutter="0"/>
          <w:cols w:space="720"/>
          <w:docGrid w:linePitch="360"/>
          <w:pgNumType w:fmt="lowerRoman"/>
        </w:sectPr>
      </w:pPr>
    </w:p>
    <w:p>
      <w:bookmarkStart w:id="10" w:name="bm_introduccion"/>
      <w:pPr>
        <w:pStyle w:val="IUTECPPreliminar"/>
        <w:keepNext/>
        <w:keepLines/>
        <w:spacing w:before="1140" w:after="480"/>
        <w:jc w:val="center"/>
      </w:pPr>
      <w:r>
        <w:rPr>
          <w:rFonts w:ascii="Times New Roman" w:hAnsi="Times New Roman"/>
          <w:b/>
          <w:sz w:val="24"/>
        </w:rPr>
        <w:t>INTRODUCCIÓN</w:t>
      </w:r>
      <w:bookmarkEnd w:id="10"/>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3"/>
          <w:footerReference w:type="first" r:id="rId34"/>
          <w:pgSz w:w="12240" w:h="15840"/>
          <w:pgMar w:top="1701" w:right="1701" w:bottom="1701" w:left="2268" w:header="720" w:footer="720" w:gutter="0"/>
          <w:cols w:space="720"/>
          <w:titlePg/>
          <w:docGrid w:linePitch="360"/>
          <w:pgNumType w:fmt="decimal" w:start="1"/>
        </w:sectPr>
      </w:pPr>
    </w:p>
    <w:p>
      <w:pPr>
        <w:keepNext/>
        <w:keepLines/>
        <w:spacing w:before="1140" w:after="480"/>
        <w:jc w:val="center"/>
      </w:pPr>
      <w:r>
        <w:rPr>
          <w:rFonts w:ascii="Times New Roman" w:hAnsi="Times New Roman"/>
          <w:b/>
          <w:sz w:val="24"/>
        </w:rPr>
        <w:t>CAPÍTULO I</w:t>
      </w:r>
    </w:p>
    <w:p>
      <w:bookmarkStart w:id="11" w:name="bm_cap1"/>
      <w:pPr>
        <w:pStyle w:val="IUTECPCapítulo"/>
        <w:spacing w:before="480"/>
        <w:jc w:val="center"/>
      </w:pPr>
      <w:r>
        <w:rPr>
          <w:rFonts w:ascii="Times New Roman" w:hAnsi="Times New Roman"/>
          <w:b/>
          <w:sz w:val="24"/>
        </w:rPr>
        <w:t>REALIDAD ORGANIZACIONAL</w:t>
      </w:r>
      <w:bookmarkEnd w:id="11"/>
    </w:p>
    <w:p>
      <w:bookmarkStart w:id="12" w:name="bm_cap1_ident"/>
      <w:pPr>
        <w:pStyle w:val="IUTECPSubtítulocentrado"/>
        <w:spacing w:before="480" w:after="480" w:line="360" w:lineRule="auto"/>
        <w:jc w:val="center"/>
      </w:pPr>
      <w:r>
        <w:rPr>
          <w:rFonts w:ascii="Times New Roman" w:hAnsi="Times New Roman"/>
          <w:b/>
          <w:sz w:val="24"/>
        </w:rPr>
        <w:t>Identificación de la empresa</w:t>
      </w:r>
      <w:bookmarkEnd w:id="12"/>
    </w:p>
    <w:p>
      <w:pPr>
        <w:pStyle w:val="IUTECPTítulo2"/>
        <w:keepNext/>
        <w:keepLines/>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13" w:name="bm_cap1_resena"/>
      <w:pPr>
        <w:pStyle w:val="IUTECPTítulo2"/>
        <w:keepNext/>
        <w:keepLines/>
        <w:spacing w:before="480" w:after="480" w:line="360" w:lineRule="auto"/>
        <w:jc w:val="left"/>
      </w:pPr>
      <w:r>
        <w:rPr>
          <w:rFonts w:ascii="Times New Roman" w:hAnsi="Times New Roman"/>
          <w:b/>
          <w:sz w:val="24"/>
        </w:rPr>
        <w:t>Reseña histórica</w:t>
      </w:r>
      <w:bookmarkEnd w:id="13"/>
    </w:p>
    <w:p>
      <w:pPr>
        <w:spacing w:line="360" w:lineRule="auto" w:after="0" w:before="0"/>
        <w:ind w:firstLine="709"/>
        <w:jc w:val="both"/>
      </w:pPr>
      <w:r>
        <w:rPr>
          <w:rFonts w:ascii="Times New Roman" w:hAnsi="Times New Roman"/>
          <w:i w:val="0"/>
          <w:sz w:val="24"/>
        </w:rPr>
        <w:t>Lubricantes y Equipos Varyna,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Varyna, C.A. mantiene su compromiso con el desarrollo productivo del país, sustentando su liderazgo en la innovación continua, la calidad de servicio y el fortalecimiento constante de su capital humano y capacidad logística.</w:t>
      </w:r>
    </w:p>
    <w:p>
      <w:bookmarkStart w:id="14" w:name="bm_cap1_mision"/>
      <w:pPr>
        <w:pStyle w:val="IUTECPTítulo2"/>
        <w:keepNext/>
        <w:keepLines/>
        <w:spacing w:before="480" w:after="480" w:line="360" w:lineRule="auto"/>
        <w:jc w:val="left"/>
      </w:pPr>
      <w:r>
        <w:rPr>
          <w:rFonts w:ascii="Times New Roman" w:hAnsi="Times New Roman"/>
          <w:b/>
          <w:sz w:val="24"/>
        </w:rPr>
        <w:t>Misión</w:t>
      </w:r>
      <w:bookmarkEnd w:id="14"/>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15" w:name="bm_cap1_vision"/>
      <w:pPr>
        <w:pStyle w:val="IUTECPTítulo2"/>
        <w:keepNext/>
        <w:keepLines/>
        <w:spacing w:before="480" w:after="480" w:line="360" w:lineRule="auto"/>
        <w:jc w:val="left"/>
      </w:pPr>
      <w:r>
        <w:rPr>
          <w:rFonts w:ascii="Times New Roman" w:hAnsi="Times New Roman"/>
          <w:b/>
          <w:sz w:val="24"/>
        </w:rPr>
        <w:t>Visión</w:t>
      </w:r>
      <w:bookmarkEnd w:id="15"/>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16" w:name="bm_cap1_valores"/>
      <w:pPr>
        <w:pStyle w:val="IUTECPTítulo2"/>
        <w:keepNext/>
        <w:keepLines/>
        <w:spacing w:before="480" w:after="480" w:line="360" w:lineRule="auto"/>
        <w:jc w:val="left"/>
      </w:pPr>
      <w:r>
        <w:rPr>
          <w:rFonts w:ascii="Times New Roman" w:hAnsi="Times New Roman"/>
          <w:b/>
          <w:sz w:val="24"/>
        </w:rPr>
        <w:t>Valores</w:t>
      </w:r>
      <w:bookmarkEnd w:id="16"/>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17" w:name="bm_cap1_obj"/>
      <w:pPr>
        <w:pStyle w:val="IUTECPTítulo2"/>
        <w:keepNext/>
        <w:keepLines/>
        <w:spacing w:before="480" w:after="480" w:line="360" w:lineRule="auto"/>
        <w:jc w:val="left"/>
      </w:pPr>
      <w:r>
        <w:rPr>
          <w:rFonts w:ascii="Times New Roman" w:hAnsi="Times New Roman"/>
          <w:b/>
          <w:sz w:val="24"/>
        </w:rPr>
        <w:t>Objetivos Organizacionales</w:t>
      </w:r>
      <w:bookmarkEnd w:id="17"/>
    </w:p>
    <w:p>
      <w:pPr>
        <w:pStyle w:val="IUTECPTítulo2"/>
        <w:keepNext/>
        <w:keepLines/>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pStyle w:val="IUTECPTítulo2"/>
        <w:keepNext/>
        <w:keepLines/>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keepNext/>
        <w:keepLines/>
        <w:spacing w:before="480"/>
        <w:jc w:val="center"/>
      </w:pPr>
      <w:r>
        <w:drawing>
          <wp:inline xmlns:a="http://schemas.openxmlformats.org/drawingml/2006/main" xmlns:pic="http://schemas.openxmlformats.org/drawingml/2006/picture">
            <wp:extent cx="1512000" cy="1512000"/>
            <wp:docPr id="4" name="Picture 4"/>
            <wp:cNvGraphicFramePr>
              <a:graphicFrameLocks noChangeAspect="1"/>
            </wp:cNvGraphicFramePr>
            <a:graphic>
              <a:graphicData uri="http://schemas.openxmlformats.org/drawingml/2006/picture">
                <pic:pic>
                  <pic:nvPicPr>
                    <pic:cNvPr id="0" name="logo.jpg"/>
                    <pic:cNvPicPr/>
                  </pic:nvPicPr>
                  <pic:blipFill>
                    <a:blip r:embed="rId12"/>
                    <a:stretch>
                      <a:fillRect/>
                    </a:stretch>
                  </pic:blipFill>
                  <pic:spPr>
                    <a:xfrm>
                      <a:off x="0" y="0"/>
                      <a:ext cx="1512000" cy="1512000"/>
                    </a:xfrm>
                    <a:prstGeom prst="rect"/>
                  </pic:spPr>
                </pic:pic>
              </a:graphicData>
            </a:graphic>
          </wp:inline>
        </w:drawing>
      </w:r>
    </w:p>
    <w:p>
      <w:bookmarkStart w:id="18" w:name="bm_grafico1"/>
      <w:pPr>
        <w:keepNext/>
        <w:keepLines/>
        <w:spacing w:before="120" w:after="480"/>
        <w:jc w:val="center"/>
      </w:pPr>
      <w:r>
        <w:rPr>
          <w:rFonts w:ascii="Times New Roman" w:hAnsi="Times New Roman"/>
          <w:i/>
          <w:sz w:val="20"/>
        </w:rPr>
        <w:t xml:space="preserve">Gráfico 1. </w:t>
      </w:r>
      <w:r>
        <w:rPr>
          <w:rFonts w:ascii="Times New Roman" w:hAnsi="Times New Roman"/>
          <w:b/>
          <w:sz w:val="20"/>
        </w:rPr>
        <w:t>Logotipo de Lubricantes y Equipos Varyna, C.A.</w:t>
      </w:r>
      <w:bookmarkEnd w:id="18"/>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19" w:name="bm_cap1_ubic"/>
      <w:pPr>
        <w:pStyle w:val="IUTECPTítulo2"/>
        <w:keepNext/>
        <w:keepLines/>
        <w:spacing w:before="480" w:after="480" w:line="360" w:lineRule="auto"/>
        <w:jc w:val="left"/>
      </w:pPr>
      <w:r>
        <w:rPr>
          <w:rFonts w:ascii="Times New Roman" w:hAnsi="Times New Roman"/>
          <w:b/>
          <w:sz w:val="24"/>
        </w:rPr>
        <w:t>Ubicación geográfica</w:t>
      </w:r>
      <w:bookmarkEnd w:id="19"/>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keepNext/>
        <w:keepLines/>
        <w:spacing w:before="480"/>
        <w:jc w:val="center"/>
      </w:pPr>
      <w:r>
        <w:drawing>
          <wp:inline xmlns:a="http://schemas.openxmlformats.org/drawingml/2006/main" xmlns:pic="http://schemas.openxmlformats.org/drawingml/2006/picture">
            <wp:extent cx="1800000" cy="1315385"/>
            <wp:docPr id="5" name="Picture 5"/>
            <wp:cNvGraphicFramePr>
              <a:graphicFrameLocks noChangeAspect="1"/>
            </wp:cNvGraphicFramePr>
            <a:graphic>
              <a:graphicData uri="http://schemas.openxmlformats.org/drawingml/2006/picture">
                <pic:pic>
                  <pic:nvPicPr>
                    <pic:cNvPr id="0" name="1.png"/>
                    <pic:cNvPicPr/>
                  </pic:nvPicPr>
                  <pic:blipFill>
                    <a:blip r:embed="rId13"/>
                    <a:stretch>
                      <a:fillRect/>
                    </a:stretch>
                  </pic:blipFill>
                  <pic:spPr>
                    <a:xfrm>
                      <a:off x="0" y="0"/>
                      <a:ext cx="1800000" cy="1315385"/>
                    </a:xfrm>
                    <a:prstGeom prst="rect"/>
                  </pic:spPr>
                </pic:pic>
              </a:graphicData>
            </a:graphic>
          </wp:inline>
        </w:drawing>
      </w:r>
    </w:p>
    <w:p>
      <w:bookmarkStart w:id="20" w:name="bm_grafico2"/>
      <w:pPr>
        <w:keepNext/>
        <w:keepLines/>
        <w:spacing w:before="120" w:after="480"/>
        <w:jc w:val="center"/>
      </w:pPr>
      <w:r>
        <w:rPr>
          <w:rFonts w:ascii="Times New Roman" w:hAnsi="Times New Roman"/>
          <w:i/>
          <w:sz w:val="20"/>
        </w:rPr>
        <w:t xml:space="preserve">Gráfico 2. </w:t>
      </w:r>
      <w:r>
        <w:rPr>
          <w:rFonts w:ascii="Times New Roman" w:hAnsi="Times New Roman"/>
          <w:b/>
          <w:sz w:val="20"/>
        </w:rPr>
        <w:t>Representación cartográfica y ubicación espacial de la empresa.</w:t>
      </w:r>
      <w:bookmarkEnd w:id="20"/>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Google Maps (2026).</w:t>
      </w:r>
    </w:p>
    <w:p>
      <w:bookmarkStart w:id="21" w:name="bm_cap1_pobla"/>
      <w:pPr>
        <w:pStyle w:val="IUTECPTítulo2"/>
        <w:keepNext/>
        <w:keepLines/>
        <w:spacing w:before="480" w:after="480" w:line="360" w:lineRule="auto"/>
        <w:jc w:val="left"/>
      </w:pPr>
      <w:r>
        <w:rPr>
          <w:rFonts w:ascii="Times New Roman" w:hAnsi="Times New Roman"/>
          <w:b/>
          <w:sz w:val="24"/>
        </w:rPr>
        <w:t>Población de los trabajadores de la empresa</w:t>
      </w:r>
      <w:bookmarkEnd w:id="21"/>
    </w:p>
    <w:p>
      <w:bookmarkStart w:id="22" w:name="bm_cuadro1"/>
      <w:pPr>
        <w:keepNext/>
        <w:keepLines/>
        <w:spacing w:before="480" w:after="240" w:line="360" w:lineRule="auto"/>
        <w:jc w:val="left"/>
      </w:pPr>
      <w:r>
        <w:rPr>
          <w:rFonts w:ascii="Times New Roman" w:hAnsi="Times New Roman"/>
          <w:b/>
          <w:sz w:val="20"/>
        </w:rPr>
        <w:t xml:space="preserve">Cuadro 1. </w:t>
      </w:r>
      <w:r>
        <w:rPr>
          <w:rFonts w:ascii="Times New Roman" w:hAnsi="Times New Roman"/>
          <w:i/>
          <w:sz w:val="20"/>
        </w:rPr>
        <w:t>Población de los trabajadores de la empresa.</w:t>
      </w:r>
      <w:bookmarkEnd w:id="22"/>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rPr>
          <w:tblHeader/>
        </w:trPr>
        <w:tc>
          <w:tcPr>
            <w:tcW w:w="1984" w:type="dxa"/>
            <w:shd w:fill="D9E2F3"/>
          </w:tcPr>
          <w:p>
            <w:pPr>
              <w:spacing w:line="240" w:lineRule="auto" w:before="40" w:after="40"/>
              <w:jc w:val="center"/>
            </w:pPr>
            <w:r/>
            <w:r>
              <w:rPr>
                <w:rFonts w:ascii="Times New Roman" w:hAnsi="Times New Roman"/>
                <w:b/>
                <w:sz w:val="20"/>
              </w:rPr>
              <w:t>Departamento / Área</w:t>
            </w:r>
          </w:p>
        </w:tc>
        <w:tc>
          <w:tcPr>
            <w:tcW w:w="2886" w:type="dxa"/>
            <w:shd w:fill="D9E2F3"/>
          </w:tcPr>
          <w:p>
            <w:pPr>
              <w:spacing w:line="240" w:lineRule="auto" w:before="40" w:after="40"/>
              <w:jc w:val="center"/>
            </w:pPr>
            <w:r/>
            <w:r>
              <w:rPr>
                <w:rFonts w:ascii="Times New Roman" w:hAnsi="Times New Roman"/>
                <w:b/>
                <w:sz w:val="20"/>
              </w:rPr>
              <w:t>Cargo</w:t>
            </w:r>
          </w:p>
        </w:tc>
        <w:tc>
          <w:tcPr>
            <w:tcW w:w="1134" w:type="dxa"/>
            <w:shd w:fill="D9E2F3"/>
          </w:tcPr>
          <w:p>
            <w:pPr>
              <w:spacing w:line="240" w:lineRule="auto" w:before="40" w:after="40"/>
              <w:jc w:val="center"/>
            </w:pPr>
            <w:r/>
            <w:r>
              <w:rPr>
                <w:rFonts w:ascii="Times New Roman" w:hAnsi="Times New Roman"/>
                <w:b/>
                <w:sz w:val="20"/>
              </w:rPr>
              <w:t>Femenino</w:t>
            </w:r>
          </w:p>
        </w:tc>
        <w:tc>
          <w:tcPr>
            <w:tcW w:w="1134" w:type="dxa"/>
            <w:shd w:fill="D9E2F3"/>
          </w:tcPr>
          <w:p>
            <w:pPr>
              <w:spacing w:line="240" w:lineRule="auto" w:before="40" w:after="40"/>
              <w:jc w:val="center"/>
            </w:pPr>
            <w:r/>
            <w:r>
              <w:rPr>
                <w:rFonts w:ascii="Times New Roman" w:hAnsi="Times New Roman"/>
                <w:b/>
                <w:sz w:val="20"/>
              </w:rPr>
              <w:t>Masculino</w:t>
            </w:r>
          </w:p>
        </w:tc>
        <w:tc>
          <w:tcPr>
            <w:tcW w:w="1134" w:type="dxa"/>
            <w:shd w:fill="D9E2F3"/>
          </w:tcPr>
          <w:p>
            <w:pPr>
              <w:spacing w:line="240" w:lineRule="auto" w:before="40" w:after="40"/>
              <w:jc w:val="center"/>
            </w:pPr>
            <w:r/>
            <w:r>
              <w:rPr>
                <w:rFonts w:ascii="Times New Roman" w:hAnsi="Times New Roman"/>
                <w:b/>
                <w:sz w:val="20"/>
              </w:rPr>
              <w:t>Total</w:t>
            </w:r>
          </w:p>
        </w:tc>
      </w:tr>
      <w:tr>
        <w:tc>
          <w:tcPr>
            <w:tcW w:type="dxa" w:w="1984"/>
          </w:tcPr>
          <w:p>
            <w:pPr>
              <w:spacing w:line="240" w:lineRule="auto" w:before="40" w:after="40"/>
              <w:jc w:val="left"/>
            </w:pPr>
            <w:r/>
            <w:r>
              <w:rPr>
                <w:rFonts w:ascii="Times New Roman" w:hAnsi="Times New Roman"/>
                <w:sz w:val="20"/>
              </w:rPr>
              <w:t>Alta Dirección</w:t>
            </w:r>
          </w:p>
        </w:tc>
        <w:tc>
          <w:tcPr>
            <w:tcW w:type="dxa" w:w="2886"/>
          </w:tcPr>
          <w:p>
            <w:pPr>
              <w:spacing w:line="240" w:lineRule="auto" w:before="40" w:after="40"/>
              <w:jc w:val="left"/>
            </w:pPr>
            <w:r/>
            <w:r>
              <w:rPr>
                <w:rFonts w:ascii="Times New Roman" w:hAnsi="Times New Roman"/>
                <w:sz w:val="20"/>
              </w:rPr>
              <w:t>Gerente General</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Dirección Operativa</w:t>
            </w:r>
          </w:p>
        </w:tc>
        <w:tc>
          <w:tcPr>
            <w:tcW w:type="dxa" w:w="2886"/>
          </w:tcPr>
          <w:p>
            <w:pPr>
              <w:spacing w:line="240" w:lineRule="auto" w:before="40" w:after="40"/>
              <w:jc w:val="left"/>
            </w:pPr>
            <w:r/>
            <w:r>
              <w:rPr>
                <w:rFonts w:ascii="Times New Roman" w:hAnsi="Times New Roman"/>
                <w:sz w:val="20"/>
              </w:rPr>
              <w:t>Gerente de Operaciones</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Control y Avance</w:t>
            </w:r>
          </w:p>
        </w:tc>
        <w:tc>
          <w:tcPr>
            <w:tcW w:type="dxa" w:w="2886"/>
          </w:tcPr>
          <w:p>
            <w:pPr>
              <w:spacing w:line="240" w:lineRule="auto" w:before="40" w:after="40"/>
              <w:jc w:val="left"/>
            </w:pPr>
            <w:r/>
            <w:r>
              <w:rPr>
                <w:rFonts w:ascii="Times New Roman" w:hAnsi="Times New Roman"/>
                <w:sz w:val="20"/>
              </w:rPr>
              <w:t>Gerente / Operaciones Morichal</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Administración (Área de Pasantía)</w:t>
            </w:r>
          </w:p>
        </w:tc>
        <w:tc>
          <w:tcPr>
            <w:tcW w:type="dxa" w:w="2886"/>
          </w:tcPr>
          <w:p>
            <w:pPr>
              <w:spacing w:line="240" w:lineRule="auto" w:before="40" w:after="40"/>
              <w:jc w:val="left"/>
            </w:pPr>
            <w:r/>
            <w:r>
              <w:rPr>
                <w:rFonts w:ascii="Times New Roman" w:hAnsi="Times New Roman"/>
                <w:sz w:val="20"/>
              </w:rPr>
              <w:t>Administración / Asistentes Administrativos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Control de Avance, Logística y Compras (Procura)</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Operarios, Sup. Patio, Mantenimiento y Logística</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r>
      <w:tr>
        <w:tc>
          <w:tcPr>
            <w:tcW w:type="dxa" w:w="1984"/>
          </w:tcPr>
          <w:p>
            <w:pPr>
              <w:spacing w:line="240" w:lineRule="auto" w:before="40" w:after="40"/>
              <w:jc w:val="left"/>
            </w:pPr>
            <w:r/>
            <w:r>
              <w:rPr>
                <w:rFonts w:ascii="Times New Roman" w:hAnsi="Times New Roman"/>
                <w:sz w:val="20"/>
              </w:rPr>
              <w:t>Contratación y Adm. Contratos</w:t>
            </w:r>
          </w:p>
        </w:tc>
        <w:tc>
          <w:tcPr>
            <w:tcW w:type="dxa" w:w="2886"/>
          </w:tcPr>
          <w:p>
            <w:pPr>
              <w:spacing w:line="240" w:lineRule="auto" w:before="40" w:after="40"/>
              <w:jc w:val="left"/>
            </w:pPr>
            <w:r/>
            <w:r>
              <w:rPr>
                <w:rFonts w:ascii="Times New Roman" w:hAnsi="Times New Roman"/>
                <w:sz w:val="20"/>
              </w:rPr>
              <w:t>Gerente / Estimadores, Administradores, Planificadores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Recursos Humanos</w:t>
            </w:r>
          </w:p>
        </w:tc>
        <w:tc>
          <w:tcPr>
            <w:tcW w:type="dxa" w:w="2886"/>
          </w:tcPr>
          <w:p>
            <w:pPr>
              <w:spacing w:line="240" w:lineRule="auto" w:before="40" w:after="40"/>
              <w:jc w:val="left"/>
            </w:pPr>
            <w:r/>
            <w:r>
              <w:rPr>
                <w:rFonts w:ascii="Times New Roman" w:hAnsi="Times New Roman"/>
                <w:sz w:val="20"/>
              </w:rPr>
              <w:t>Gerente de RRHH-Laborales / Asistentes</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t>Proyectos y Producción</w:t>
            </w:r>
          </w:p>
        </w:tc>
        <w:tc>
          <w:tcPr>
            <w:tcW w:type="dxa" w:w="2886"/>
          </w:tcPr>
          <w:p>
            <w:pPr>
              <w:spacing w:line="240" w:lineRule="auto" w:before="40" w:after="40"/>
              <w:jc w:val="left"/>
            </w:pPr>
            <w:r/>
            <w:r>
              <w:rPr>
                <w:rFonts w:ascii="Times New Roman" w:hAnsi="Times New Roman"/>
                <w:sz w:val="20"/>
              </w:rPr>
              <w:t>Gerentes de Proyecto, Optimización y Servicios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Gerente Metalmecánico</w:t>
            </w:r>
          </w:p>
        </w:tc>
        <w:tc>
          <w:tcPr>
            <w:tcW w:type="dxa" w:w="1134"/>
          </w:tcPr>
          <w:p>
            <w:pPr>
              <w:spacing w:line="240" w:lineRule="auto" w:before="40" w:after="40"/>
              <w:jc w:val="center"/>
            </w:pPr>
            <w:r/>
            <w:r>
              <w:rPr>
                <w:rFonts w:ascii="Times New Roman" w:hAnsi="Times New Roman"/>
                <w:sz w:val="20"/>
              </w:rPr>
              <w:t>0</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w:t>
            </w:r>
          </w:p>
        </w:tc>
      </w:tr>
      <w:tr>
        <w:tc>
          <w:tcPr>
            <w:tcW w:type="dxa" w:w="1984"/>
          </w:tcPr>
          <w:p>
            <w:pPr>
              <w:spacing w:line="240" w:lineRule="auto" w:before="40" w:after="40"/>
              <w:jc w:val="left"/>
            </w:pPr>
            <w:r/>
            <w:r>
              <w:rPr>
                <w:rFonts w:ascii="Times New Roman" w:hAnsi="Times New Roman"/>
                <w:sz w:val="20"/>
              </w:rPr>
              <w:t>Ingeniería y Campo</w:t>
            </w:r>
          </w:p>
        </w:tc>
        <w:tc>
          <w:tcPr>
            <w:tcW w:type="dxa" w:w="2886"/>
          </w:tcPr>
          <w:p>
            <w:pPr>
              <w:spacing w:line="240" w:lineRule="auto" w:before="40" w:after="40"/>
              <w:jc w:val="left"/>
            </w:pPr>
            <w:r/>
            <w:r>
              <w:rPr>
                <w:rFonts w:ascii="Times New Roman" w:hAnsi="Times New Roman"/>
                <w:sz w:val="20"/>
              </w:rPr>
              <w:t>Ingenieros Residentes / Coordinadores (SIHO-A,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3</w:t>
            </w:r>
          </w:p>
        </w:tc>
        <w:tc>
          <w:tcPr>
            <w:tcW w:type="dxa" w:w="1134"/>
          </w:tcPr>
          <w:p>
            <w:pPr>
              <w:spacing w:line="240" w:lineRule="auto" w:before="40" w:after="40"/>
              <w:jc w:val="center"/>
            </w:pPr>
            <w:r/>
            <w:r>
              <w:rPr>
                <w:rFonts w:ascii="Times New Roman" w:hAnsi="Times New Roman"/>
                <w:sz w:val="20"/>
              </w:rPr>
              <w:t>5</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Inspectores (SIHO, Ambiente, Paramédicos, Calidad)</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2</w:t>
            </w:r>
          </w:p>
        </w:tc>
        <w:tc>
          <w:tcPr>
            <w:tcW w:type="dxa" w:w="1134"/>
          </w:tcPr>
          <w:p>
            <w:pPr>
              <w:spacing w:line="240" w:lineRule="auto" w:before="40" w:after="40"/>
              <w:jc w:val="center"/>
            </w:pPr>
            <w:r/>
            <w:r>
              <w:rPr>
                <w:rFonts w:ascii="Times New Roman" w:hAnsi="Times New Roman"/>
                <w:sz w:val="20"/>
              </w:rPr>
              <w:t>4</w:t>
            </w:r>
          </w:p>
        </w:tc>
      </w:tr>
      <w:tr>
        <w:tc>
          <w:tcPr>
            <w:tcW w:type="dxa" w:w="1984"/>
          </w:tcPr>
          <w:p>
            <w:pPr>
              <w:spacing w:line="240" w:lineRule="auto" w:before="40" w:after="40"/>
              <w:jc w:val="left"/>
            </w:pPr>
            <w:r/>
            <w:r>
              <w:rPr>
                <w:rFonts w:ascii="Times New Roman" w:hAnsi="Times New Roman"/>
                <w:sz w:val="20"/>
              </w:rPr>
            </w:r>
          </w:p>
        </w:tc>
        <w:tc>
          <w:tcPr>
            <w:tcW w:type="dxa" w:w="2886"/>
          </w:tcPr>
          <w:p>
            <w:pPr>
              <w:spacing w:line="240" w:lineRule="auto" w:before="40" w:after="40"/>
              <w:jc w:val="left"/>
            </w:pPr>
            <w:r/>
            <w:r>
              <w:rPr>
                <w:rFonts w:ascii="Times New Roman" w:hAnsi="Times New Roman"/>
                <w:sz w:val="20"/>
              </w:rPr>
              <w:t>Supervisor de Obras, Operadores, Chóferes, Soldadores, Obreros</w:t>
            </w:r>
          </w:p>
        </w:tc>
        <w:tc>
          <w:tcPr>
            <w:tcW w:type="dxa" w:w="1134"/>
          </w:tcPr>
          <w:p>
            <w:pPr>
              <w:spacing w:line="240" w:lineRule="auto" w:before="40" w:after="40"/>
              <w:jc w:val="center"/>
            </w:pPr>
            <w:r/>
            <w:r>
              <w:rPr>
                <w:rFonts w:ascii="Times New Roman" w:hAnsi="Times New Roman"/>
                <w:sz w:val="20"/>
              </w:rPr>
              <w:t>1</w:t>
            </w:r>
          </w:p>
        </w:tc>
        <w:tc>
          <w:tcPr>
            <w:tcW w:type="dxa" w:w="1134"/>
          </w:tcPr>
          <w:p>
            <w:pPr>
              <w:spacing w:line="240" w:lineRule="auto" w:before="40" w:after="40"/>
              <w:jc w:val="center"/>
            </w:pPr>
            <w:r/>
            <w:r>
              <w:rPr>
                <w:rFonts w:ascii="Times New Roman" w:hAnsi="Times New Roman"/>
                <w:sz w:val="20"/>
              </w:rPr>
              <w:t>10</w:t>
            </w:r>
          </w:p>
        </w:tc>
        <w:tc>
          <w:tcPr>
            <w:tcW w:type="dxa" w:w="1134"/>
          </w:tcPr>
          <w:p>
            <w:pPr>
              <w:spacing w:line="240" w:lineRule="auto" w:before="40" w:after="40"/>
              <w:jc w:val="center"/>
            </w:pPr>
            <w:r/>
            <w:r>
              <w:rPr>
                <w:rFonts w:ascii="Times New Roman" w:hAnsi="Times New Roman"/>
                <w:sz w:val="20"/>
              </w:rPr>
              <w:t>11</w:t>
            </w:r>
          </w:p>
        </w:tc>
      </w:tr>
      <w:tr>
        <w:tc>
          <w:tcPr>
            <w:tcW w:type="dxa" w:w="1984"/>
          </w:tcPr>
          <w:p>
            <w:pPr>
              <w:spacing w:line="240" w:lineRule="auto" w:before="40" w:after="40"/>
              <w:jc w:val="left"/>
            </w:pPr>
            <w:r/>
            <w:r>
              <w:rPr>
                <w:rFonts w:ascii="Times New Roman" w:hAnsi="Times New Roman"/>
                <w:sz w:val="20"/>
              </w:rPr>
              <w:t>TOTAL GENERAL</w:t>
            </w:r>
          </w:p>
        </w:tc>
        <w:tc>
          <w:tcPr>
            <w:tcW w:type="dxa" w:w="2886"/>
          </w:tcPr>
          <w:p>
            <w:pPr>
              <w:spacing w:line="240" w:lineRule="auto" w:before="40" w:after="40"/>
              <w:jc w:val="left"/>
            </w:pPr>
            <w:r/>
            <w:r>
              <w:rPr>
                <w:rFonts w:ascii="Times New Roman" w:hAnsi="Times New Roman"/>
                <w:sz w:val="20"/>
              </w:rPr>
            </w:r>
          </w:p>
        </w:tc>
        <w:tc>
          <w:tcPr>
            <w:tcW w:type="dxa" w:w="1134"/>
          </w:tcPr>
          <w:p>
            <w:pPr>
              <w:spacing w:line="240" w:lineRule="auto" w:before="40" w:after="40"/>
              <w:jc w:val="center"/>
            </w:pPr>
            <w:r/>
            <w:r>
              <w:rPr>
                <w:rFonts w:ascii="Times New Roman" w:hAnsi="Times New Roman"/>
                <w:sz w:val="20"/>
              </w:rPr>
              <w:t>14</w:t>
            </w:r>
          </w:p>
        </w:tc>
        <w:tc>
          <w:tcPr>
            <w:tcW w:type="dxa" w:w="1134"/>
          </w:tcPr>
          <w:p>
            <w:pPr>
              <w:spacing w:line="240" w:lineRule="auto" w:before="40" w:after="40"/>
              <w:jc w:val="center"/>
            </w:pPr>
            <w:r/>
            <w:r>
              <w:rPr>
                <w:rFonts w:ascii="Times New Roman" w:hAnsi="Times New Roman"/>
                <w:sz w:val="20"/>
              </w:rPr>
              <w:t>28</w:t>
            </w:r>
          </w:p>
        </w:tc>
        <w:tc>
          <w:tcPr>
            <w:tcW w:type="dxa" w:w="1134"/>
          </w:tcPr>
          <w:p>
            <w:pPr>
              <w:spacing w:line="240" w:lineRule="auto" w:before="40" w:after="40"/>
              <w:jc w:val="center"/>
            </w:pPr>
            <w:r/>
            <w:r>
              <w:rPr>
                <w:rFonts w:ascii="Times New Roman" w:hAnsi="Times New Roman"/>
                <w:sz w:val="20"/>
              </w:rPr>
              <w:t>42</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Información suministrada por Lubricantes y Equipos Varyna, C.A. (2026).</w:t>
      </w:r>
    </w:p>
    <w:p>
      <w:bookmarkStart w:id="23" w:name="bm_cap1_estruct"/>
      <w:pPr>
        <w:pStyle w:val="IUTECPTítulo2"/>
        <w:keepNext/>
        <w:keepLines/>
        <w:spacing w:before="480" w:after="480" w:line="360" w:lineRule="auto"/>
        <w:jc w:val="left"/>
      </w:pPr>
      <w:r>
        <w:rPr>
          <w:rFonts w:ascii="Times New Roman" w:hAnsi="Times New Roman"/>
          <w:b/>
          <w:sz w:val="24"/>
        </w:rPr>
        <w:t>Estructura Organizativa</w:t>
      </w:r>
      <w:bookmarkEnd w:id="23"/>
    </w:p>
    <w:p>
      <w:pPr>
        <w:spacing w:line="360" w:lineRule="auto" w:after="0" w:before="0"/>
        <w:ind w:firstLine="709"/>
        <w:jc w:val="both"/>
      </w:pPr>
      <w:r>
        <w:rPr>
          <w:rFonts w:ascii="Times New Roman" w:hAnsi="Times New Roman"/>
          <w:i w:val="0"/>
          <w:sz w:val="24"/>
        </w:rPr>
        <w:t>La estructura organizativa de Lubricantes y Equipos Varyna, C.A. es de tipo jerárquico-funcional y está integrada por la Gerencia General, Gerencia de Operaciones, Gerencia de Control y Avance, Departamento Administrativo, Gerencia de Contratación y Administración de Contratos, Recursos Humanos, gerencias técnicas y coordinaciones de SIHO-A y Calidad. A continuación, se presenta el organigrama general de la organización y las unidades vinculadas con el área donde se desarrollaron las pasantías.</w:t>
      </w:r>
    </w:p>
    <w:p>
      <w:pPr>
        <w:keepNext/>
        <w:keepLines/>
        <w:spacing w:before="480"/>
        <w:jc w:val="center"/>
      </w:pPr>
      <w:r>
        <w:drawing>
          <wp:inline xmlns:a="http://schemas.openxmlformats.org/drawingml/2006/main" xmlns:pic="http://schemas.openxmlformats.org/drawingml/2006/picture">
            <wp:extent cx="4320000" cy="2603179"/>
            <wp:docPr id="6" name="Picture 6"/>
            <wp:cNvGraphicFramePr>
              <a:graphicFrameLocks noChangeAspect="1"/>
            </wp:cNvGraphicFramePr>
            <a:graphic>
              <a:graphicData uri="http://schemas.openxmlformats.org/drawingml/2006/picture">
                <pic:pic>
                  <pic:nvPicPr>
                    <pic:cNvPr id="0" name="2.png"/>
                    <pic:cNvPicPr/>
                  </pic:nvPicPr>
                  <pic:blipFill>
                    <a:blip r:embed="rId14"/>
                    <a:stretch>
                      <a:fillRect/>
                    </a:stretch>
                  </pic:blipFill>
                  <pic:spPr>
                    <a:xfrm>
                      <a:off x="0" y="0"/>
                      <a:ext cx="4320000" cy="2603179"/>
                    </a:xfrm>
                    <a:prstGeom prst="rect"/>
                  </pic:spPr>
                </pic:pic>
              </a:graphicData>
            </a:graphic>
          </wp:inline>
        </w:drawing>
      </w:r>
    </w:p>
    <w:p>
      <w:bookmarkStart w:id="24" w:name="bm_grafico3"/>
      <w:pPr>
        <w:keepNext/>
        <w:keepLines/>
        <w:spacing w:before="120" w:after="480"/>
        <w:jc w:val="center"/>
      </w:pPr>
      <w:r>
        <w:rPr>
          <w:rFonts w:ascii="Times New Roman" w:hAnsi="Times New Roman"/>
          <w:i/>
          <w:sz w:val="20"/>
        </w:rPr>
        <w:t xml:space="preserve">Gráfico 3. </w:t>
      </w:r>
      <w:r>
        <w:rPr>
          <w:rFonts w:ascii="Times New Roman" w:hAnsi="Times New Roman"/>
          <w:b/>
          <w:sz w:val="20"/>
        </w:rPr>
        <w:t>Organigrama estructural y niveles jerárquicos de la organización.</w:t>
      </w:r>
      <w:bookmarkEnd w:id="24"/>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Lubricantes y Equipos Varyna, C.A. (2026).</w:t>
      </w:r>
    </w:p>
    <w:p>
      <w:bookmarkStart w:id="25" w:name="bm_cap1_departamento"/>
      <w:pPr>
        <w:pStyle w:val="IUTECPTítulo2"/>
        <w:keepNext/>
        <w:keepLines/>
        <w:spacing w:before="480" w:after="480" w:line="360" w:lineRule="auto"/>
        <w:jc w:val="left"/>
      </w:pPr>
      <w:r>
        <w:rPr>
          <w:rFonts w:ascii="Times New Roman" w:hAnsi="Times New Roman"/>
          <w:b/>
          <w:sz w:val="24"/>
        </w:rPr>
        <w:t>Descripción del departamento donde realizó la pasantía</w:t>
      </w:r>
      <w:bookmarkEnd w:id="25"/>
    </w:p>
    <w:p>
      <w:pPr>
        <w:spacing w:line="360" w:lineRule="auto" w:after="0" w:before="0"/>
        <w:ind w:firstLine="709"/>
        <w:jc w:val="both"/>
      </w:pPr>
      <w:r>
        <w:rPr>
          <w:rFonts w:ascii="Times New Roman" w:hAnsi="Times New Roman"/>
          <w:i w:val="0"/>
          <w:sz w:val="24"/>
        </w:rPr>
        <w:t>El Departamento Administrativo fue el área en la que se desarrollaron las pasantías profesionales. Dentro de esta unidad se realizan actividades relacionadas con administración, control de documentación, logística y procura. En lo relativo al proceso de compras, el departamento recibe requerimientos, gestiona solicitudes de cotización, mantiene comunicación con proveedores, prepara y tramita documentación de compra y realiza seguimiento a las adquisiciones hasta su correspondiente cierre administrativo. La pasantía se concentró especialmente en estas actividades de procura, lo que permitió observar el recorrido de las requisiciones, identificar oportunidades de simplificación y formular una propuesta ajustada a las necesidades operativas del área.</w:t>
      </w:r>
    </w:p>
    <w:p>
      <w:pPr>
        <w:sectPr>
          <w:footerReference w:type="default" r:id="rId35"/>
          <w:footerReference w:type="first" r:id="rId36"/>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w:t>
      </w:r>
    </w:p>
    <w:p>
      <w:bookmarkStart w:id="26" w:name="bm_cap2"/>
      <w:pPr>
        <w:pStyle w:val="IUTECPCapítulo"/>
        <w:spacing w:before="480"/>
        <w:jc w:val="center"/>
      </w:pPr>
      <w:r>
        <w:rPr>
          <w:rFonts w:ascii="Times New Roman" w:hAnsi="Times New Roman"/>
          <w:b/>
          <w:sz w:val="24"/>
        </w:rPr>
        <w:t>DIAGNÓSTICO SITUACIONAL</w:t>
      </w:r>
      <w:bookmarkEnd w:id="26"/>
    </w:p>
    <w:p>
      <w:bookmarkStart w:id="27" w:name="bm_cap2_sit"/>
      <w:pPr>
        <w:pStyle w:val="IUTECPTítulo2"/>
        <w:keepNext/>
        <w:keepLines/>
        <w:spacing w:before="480" w:after="480" w:line="360" w:lineRule="auto"/>
        <w:jc w:val="left"/>
      </w:pPr>
      <w:r>
        <w:rPr>
          <w:rFonts w:ascii="Times New Roman" w:hAnsi="Times New Roman"/>
          <w:b/>
          <w:sz w:val="24"/>
        </w:rPr>
        <w:t>Identificación de la Situación Problemática</w:t>
      </w:r>
      <w:bookmarkEnd w:id="27"/>
    </w:p>
    <w:p>
      <w:pPr>
        <w:pStyle w:val="IUTECPTítulo2"/>
        <w:keepNext/>
        <w:keepLines/>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pStyle w:val="IUTECPTítulo2"/>
        <w:keepNext/>
        <w:keepLines/>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pStyle w:val="IUTECPTítulo2"/>
        <w:keepNext/>
        <w:keepLines/>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pStyle w:val="IUTECPTítulo2"/>
        <w:keepNext/>
        <w:keepLines/>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pStyle w:val="IUTECPTítulo2"/>
        <w:keepNext/>
        <w:keepLines/>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28" w:name="bm_cap2_objg"/>
      <w:pPr>
        <w:pStyle w:val="IUTECPTítulo2"/>
        <w:keepNext/>
        <w:keepLines/>
        <w:spacing w:before="480" w:after="480" w:line="360" w:lineRule="auto"/>
        <w:jc w:val="left"/>
      </w:pPr>
      <w:r>
        <w:rPr>
          <w:rFonts w:ascii="Times New Roman" w:hAnsi="Times New Roman"/>
          <w:b/>
          <w:sz w:val="24"/>
        </w:rPr>
        <w:t>Objetivo General</w:t>
      </w:r>
      <w:bookmarkEnd w:id="28"/>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29" w:name="bm_cap2_obje"/>
      <w:pPr>
        <w:pStyle w:val="IUTECPTítulo2"/>
        <w:keepNext/>
        <w:keepLines/>
        <w:spacing w:before="480" w:after="480" w:line="360" w:lineRule="auto"/>
        <w:jc w:val="left"/>
      </w:pPr>
      <w:r>
        <w:rPr>
          <w:rFonts w:ascii="Times New Roman" w:hAnsi="Times New Roman"/>
          <w:b/>
          <w:sz w:val="24"/>
        </w:rPr>
        <w:t>Objetivos Específicos</w:t>
      </w:r>
      <w:bookmarkEnd w:id="29"/>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30" w:name="bm_cap2_planif"/>
      <w:pPr>
        <w:pStyle w:val="IUTECPTítulo2"/>
        <w:keepNext/>
        <w:keepLines/>
        <w:spacing w:before="480" w:after="480" w:line="360" w:lineRule="auto"/>
        <w:jc w:val="left"/>
      </w:pPr>
      <w:r>
        <w:rPr>
          <w:rFonts w:ascii="Times New Roman" w:hAnsi="Times New Roman"/>
          <w:b/>
          <w:sz w:val="24"/>
        </w:rPr>
        <w:t>Planificación integral de objetivos</w:t>
      </w:r>
      <w:bookmarkEnd w:id="30"/>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31" w:name="bm_cuadro2"/>
      <w:pPr>
        <w:keepNext/>
        <w:keepLines/>
        <w:spacing w:before="480" w:after="240" w:line="360" w:lineRule="auto"/>
        <w:jc w:val="left"/>
      </w:pPr>
      <w:r>
        <w:rPr>
          <w:rFonts w:ascii="Times New Roman" w:hAnsi="Times New Roman"/>
          <w:b/>
          <w:sz w:val="20"/>
        </w:rPr>
        <w:t xml:space="preserve">Cuadro 2. </w:t>
      </w:r>
      <w:r>
        <w:rPr>
          <w:rFonts w:ascii="Times New Roman" w:hAnsi="Times New Roman"/>
          <w:i/>
          <w:sz w:val="20"/>
        </w:rPr>
        <w:t>Planificación integral de objetivos específicos.</w:t>
      </w:r>
      <w:bookmarkEnd w:id="3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rPr>
          <w:tblHeader/>
        </w:trP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
      <w:bookmarkStart w:id="32" w:name="bm_cap2_crono"/>
      <w:pPr>
        <w:pStyle w:val="IUTECPTítulo2"/>
        <w:keepNext/>
        <w:keepLines/>
        <w:spacing w:before="480" w:after="480" w:line="360" w:lineRule="auto"/>
        <w:jc w:val="left"/>
      </w:pPr>
      <w:r>
        <w:rPr>
          <w:rFonts w:ascii="Times New Roman" w:hAnsi="Times New Roman"/>
          <w:b/>
          <w:sz w:val="24"/>
        </w:rPr>
        <w:t>Cronograma de actividades</w:t>
      </w:r>
      <w:bookmarkEnd w:id="32"/>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33" w:name="bm_cuadro3"/>
      <w:pPr>
        <w:keepNext/>
        <w:keepLines/>
        <w:spacing w:before="480" w:after="240" w:line="360" w:lineRule="auto"/>
        <w:jc w:val="left"/>
      </w:pPr>
      <w:r>
        <w:rPr>
          <w:rFonts w:ascii="Times New Roman" w:hAnsi="Times New Roman"/>
          <w:b/>
          <w:sz w:val="20"/>
        </w:rPr>
        <w:t xml:space="preserve">Cuadro 3. </w:t>
      </w:r>
      <w:r>
        <w:rPr>
          <w:rFonts w:ascii="Times New Roman" w:hAnsi="Times New Roman"/>
          <w:i/>
          <w:sz w:val="20"/>
        </w:rPr>
        <w:t>Cronograma de actividades de la pasantía.</w:t>
      </w:r>
      <w:bookmarkEnd w:id="33"/>
    </w:p>
    <w:tbl>
      <w:tblPr>
        <w:tblStyle w:val="TableGrid"/>
        <w:tblW w:type="auto" w:w="0"/>
        <w:tblLook w:firstColumn="1" w:firstRow="1" w:lastColumn="0" w:lastRow="0" w:noHBand="0" w:noVBand="1" w:val="04A0"/>
        <w:tblLayout w:type="fixed"/>
      </w:tblPr>
      <w:tblGrid>
        <w:gridCol w:w="2683"/>
        <w:gridCol w:w="556"/>
        <w:gridCol w:w="556"/>
        <w:gridCol w:w="556"/>
        <w:gridCol w:w="556"/>
        <w:gridCol w:w="556"/>
        <w:gridCol w:w="556"/>
        <w:gridCol w:w="556"/>
        <w:gridCol w:w="556"/>
        <w:gridCol w:w="567"/>
        <w:gridCol w:w="567"/>
      </w:tblGrid>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Semana</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224"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134" w:type="dxa"/>
            <w:gridSpan w:val="2"/>
            <w:shd w:val="clear" w:color="auto" w:fill="4472C4"/>
          </w:tcPr>
          <w:p>
            <w:pPr>
              <w:spacing w:before="60" w:after="60" w:line="240" w:lineRule="auto"/>
              <w:jc w:val="center"/>
            </w:pPr>
            <w:r>
              <w:rPr>
                <w:rFonts w:ascii="Times New Roman" w:hAnsi="Times New Roman"/>
                <w:b/>
                <w:color w:val="FFFFFF"/>
                <w:sz w:val="20"/>
              </w:rPr>
              <w:t>AGOSTO</w:t>
            </w:r>
          </w:p>
        </w:tc>
      </w:tr>
      <w:tr>
        <w:trPr>
          <w:tblHeader/>
        </w:trPr>
        <w:tc>
          <w:tcPr>
            <w:tcW w:w="2683" w:type="dxa"/>
            <w:shd w:val="clear" w:color="auto" w:fill="4472C4"/>
          </w:tcPr>
          <w:p>
            <w:pPr>
              <w:spacing w:before="60" w:after="60" w:line="240" w:lineRule="auto"/>
              <w:jc w:val="center"/>
            </w:pPr>
            <w:r>
              <w:rPr>
                <w:rFonts w:ascii="Times New Roman" w:hAnsi="Times New Roman"/>
                <w:b/>
                <w:color w:val="FFFFFF"/>
                <w:sz w:val="20"/>
              </w:rPr>
              <w:t>Actividad</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56" w:type="dxa"/>
            <w:shd w:val="clear" w:color="auto" w:fill="4472C4"/>
          </w:tcPr>
          <w:p>
            <w:pPr>
              <w:spacing w:before="60" w:after="60" w:line="240" w:lineRule="auto"/>
              <w:jc w:val="center"/>
            </w:pPr>
            <w:r>
              <w:rPr>
                <w:rFonts w:ascii="Times New Roman" w:hAnsi="Times New Roman"/>
                <w:b/>
                <w:color w:val="FFFFFF"/>
                <w:sz w:val="20"/>
              </w:rPr>
              <w:t>1</w:t>
            </w:r>
          </w:p>
        </w:tc>
        <w:tc>
          <w:tcPr>
            <w:tcW w:w="556" w:type="dxa"/>
            <w:shd w:val="clear" w:color="auto" w:fill="4472C4"/>
          </w:tcPr>
          <w:p>
            <w:pPr>
              <w:spacing w:before="60" w:after="60" w:line="240" w:lineRule="auto"/>
              <w:jc w:val="center"/>
            </w:pPr>
            <w:r>
              <w:rPr>
                <w:rFonts w:ascii="Times New Roman" w:hAnsi="Times New Roman"/>
                <w:b/>
                <w:color w:val="FFFFFF"/>
                <w:sz w:val="20"/>
              </w:rPr>
              <w:t>2</w:t>
            </w:r>
          </w:p>
        </w:tc>
        <w:tc>
          <w:tcPr>
            <w:tcW w:w="556" w:type="dxa"/>
            <w:shd w:val="clear" w:color="auto" w:fill="4472C4"/>
          </w:tcPr>
          <w:p>
            <w:pPr>
              <w:spacing w:before="60" w:after="60" w:line="240" w:lineRule="auto"/>
              <w:jc w:val="center"/>
            </w:pPr>
            <w:r>
              <w:rPr>
                <w:rFonts w:ascii="Times New Roman" w:hAnsi="Times New Roman"/>
                <w:b/>
                <w:color w:val="FFFFFF"/>
                <w:sz w:val="20"/>
              </w:rPr>
              <w:t>3</w:t>
            </w:r>
          </w:p>
        </w:tc>
        <w:tc>
          <w:tcPr>
            <w:tcW w:w="556" w:type="dxa"/>
            <w:shd w:val="clear" w:color="auto" w:fill="4472C4"/>
          </w:tcPr>
          <w:p>
            <w:pPr>
              <w:spacing w:before="60" w:after="60" w:line="240" w:lineRule="auto"/>
              <w:jc w:val="center"/>
            </w:pPr>
            <w:r>
              <w:rPr>
                <w:rFonts w:ascii="Times New Roman" w:hAnsi="Times New Roman"/>
                <w:b/>
                <w:color w:val="FFFFFF"/>
                <w:sz w:val="20"/>
              </w:rPr>
              <w:t>4</w:t>
            </w:r>
          </w:p>
        </w:tc>
        <w:tc>
          <w:tcPr>
            <w:tcW w:w="567" w:type="dxa"/>
            <w:shd w:val="clear" w:color="auto" w:fill="4472C4"/>
          </w:tcPr>
          <w:p>
            <w:pPr>
              <w:spacing w:before="60" w:after="60" w:line="240" w:lineRule="auto"/>
              <w:jc w:val="center"/>
            </w:pPr>
            <w:r>
              <w:rPr>
                <w:rFonts w:ascii="Times New Roman" w:hAnsi="Times New Roman"/>
                <w:b/>
                <w:color w:val="FFFFFF"/>
                <w:sz w:val="20"/>
              </w:rPr>
              <w:t>1</w:t>
            </w:r>
          </w:p>
        </w:tc>
        <w:tc>
          <w:tcPr>
            <w:tcW w:w="567" w:type="dxa"/>
            <w:shd w:val="clear" w:color="auto" w:fill="4472C4"/>
          </w:tcPr>
          <w:p>
            <w:pPr>
              <w:spacing w:before="60" w:after="60" w:line="240" w:lineRule="auto"/>
              <w:jc w:val="center"/>
            </w:pPr>
            <w:r>
              <w:rPr>
                <w:rFonts w:ascii="Times New Roman" w:hAnsi="Times New Roman"/>
                <w:b/>
                <w:color w:val="FFFFFF"/>
                <w:sz w:val="20"/>
              </w:rPr>
              <w:t>2</w:t>
            </w:r>
          </w:p>
        </w:tc>
      </w:tr>
      <w:tr>
        <w:tc>
          <w:tcPr>
            <w:tcW w:w="268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r>
      <w:tr>
        <w:tc>
          <w:tcPr>
            <w:tcW w:w="268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r>
        <w:tc>
          <w:tcPr>
            <w:tcW w:w="268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56"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D9E1F2"/>
          </w:tcPr>
          <w:p>
            <w:pPr>
              <w:spacing w:before="60" w:after="60" w:line="240" w:lineRule="auto"/>
              <w:jc w:val="center"/>
            </w:pPr>
            <w:r>
              <w:rPr>
                <w:rFonts w:ascii="Times New Roman" w:hAnsi="Times New Roman"/>
                <w:b w:val="0"/>
                <w:color w:val="000000"/>
                <w:sz w:val="20"/>
              </w:rPr>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r>
      <w:tr>
        <w:tc>
          <w:tcPr>
            <w:tcW w:w="268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56" w:type="dxa"/>
            <w:shd w:val="clear" w:color="auto" w:fill="FFFFFF"/>
          </w:tcPr>
          <w:p>
            <w:pPr>
              <w:spacing w:before="60" w:after="60" w:line="240" w:lineRule="auto"/>
              <w:jc w:val="center"/>
            </w:pPr>
            <w:r>
              <w:rPr>
                <w:rFonts w:ascii="Times New Roman" w:hAnsi="Times New Roman"/>
                <w:b w:val="0"/>
                <w:color w:val="000000"/>
                <w:sz w:val="20"/>
              </w:rPr>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56"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70AD47"/>
          </w:tcPr>
          <w:p>
            <w:pPr>
              <w:spacing w:before="60" w:after="60" w:line="240" w:lineRule="auto"/>
              <w:jc w:val="center"/>
            </w:pPr>
            <w:r>
              <w:rPr>
                <w:rFonts w:ascii="Times New Roman" w:hAnsi="Times New Roman"/>
                <w:b w:val="0"/>
                <w:color w:val="FFFFFF"/>
                <w:sz w:val="20"/>
              </w:rPr>
              <w:t>✓</w:t>
            </w:r>
          </w:p>
        </w:tc>
        <w:tc>
          <w:tcPr>
            <w:tcW w:w="567" w:type="dxa"/>
            <w:shd w:val="clear" w:color="auto" w:fill="FFFFFF"/>
          </w:tcPr>
          <w:p>
            <w:pPr>
              <w:spacing w:before="60" w:after="60" w:line="240" w:lineRule="auto"/>
              <w:jc w:val="center"/>
            </w:pPr>
            <w:r>
              <w:rPr>
                <w:rFonts w:ascii="Times New Roman" w:hAnsi="Times New Roman"/>
                <w:b w:val="0"/>
                <w:color w:val="000000"/>
                <w:sz w:val="20"/>
              </w:rPr>
            </w:r>
          </w:p>
        </w:tc>
      </w:tr>
    </w:tbl>
    <w:p>
      <w:pPr>
        <w:spacing w:line="240" w:lineRule="auto" w:before="0" w:after="240"/>
        <w:ind w:firstLine="0"/>
        <w:jc w:val="left"/>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37"/>
          <w:footerReference w:type="first" r:id="rId38"/>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III</w:t>
      </w:r>
    </w:p>
    <w:p>
      <w:bookmarkStart w:id="34" w:name="bm_cap3"/>
      <w:pPr>
        <w:pStyle w:val="IUTECPCapítulo"/>
        <w:spacing w:before="480"/>
        <w:jc w:val="center"/>
      </w:pPr>
      <w:r>
        <w:rPr>
          <w:rFonts w:ascii="Times New Roman" w:hAnsi="Times New Roman"/>
          <w:b/>
          <w:sz w:val="24"/>
        </w:rPr>
        <w:t>MARCO TEÓRICO</w:t>
      </w:r>
      <w:bookmarkEnd w:id="34"/>
    </w:p>
    <w:p>
      <w:bookmarkStart w:id="35" w:name="bm_cap3_bases"/>
      <w:pPr>
        <w:pStyle w:val="IUTECPTítulo2"/>
        <w:keepNext/>
        <w:keepLines/>
        <w:spacing w:before="480" w:after="480" w:line="360" w:lineRule="auto"/>
        <w:jc w:val="left"/>
      </w:pPr>
      <w:r>
        <w:rPr>
          <w:rFonts w:ascii="Times New Roman" w:hAnsi="Times New Roman"/>
          <w:b/>
          <w:sz w:val="24"/>
        </w:rPr>
        <w:t>Procura y Gestión de Compras</w:t>
      </w:r>
      <w:bookmarkEnd w:id="35"/>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pStyle w:val="IUTECPTítulo2"/>
        <w:keepNext/>
        <w:keepLines/>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pStyle w:val="IUTECPTítulo2"/>
        <w:keepNext/>
        <w:keepLines/>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pStyle w:val="IUTECPTítulo2"/>
        <w:keepNext/>
        <w:keepLines/>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todos esos añadidos respondan a una secuencia formalmente definida. Quien elabora este trabajo considera que la simplificación no implica eliminar controles, sino reducir redundancias y clarificar responsabilidades. La propuesta formulada durante las pasantías parte de este principio y organiza los pasos necesarios para que una requisición avance de manera comprensible desde su recepción hasta el cierre de la orden de compra, manteniendo responsables, criterios de autorización y mecanismos de seguimiento que favorezcan el control administrativo del proceso.</w:t>
      </w:r>
    </w:p>
    <w:p>
      <w:pPr>
        <w:pStyle w:val="IUTECPTítulo2"/>
        <w:keepNext/>
        <w:keepLines/>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pStyle w:val="IUTECPTítulo2"/>
        <w:keepNext/>
        <w:keepLines/>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9"/>
          <w:footerReference w:type="first" r:id="rId40"/>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IV</w:t>
      </w:r>
    </w:p>
    <w:p>
      <w:bookmarkStart w:id="36" w:name="bm_cap4"/>
      <w:pPr>
        <w:pStyle w:val="IUTECPCapítulo"/>
        <w:spacing w:before="480"/>
        <w:jc w:val="center"/>
      </w:pPr>
      <w:r>
        <w:rPr>
          <w:rFonts w:ascii="Times New Roman" w:hAnsi="Times New Roman"/>
          <w:b/>
          <w:sz w:val="24"/>
        </w:rPr>
        <w:t>ACTIVIDADES REALIZADAS</w:t>
      </w:r>
      <w:bookmarkEnd w:id="36"/>
    </w:p>
    <w:p>
      <w:bookmarkStart w:id="37" w:name="bm_cap4_desc"/>
      <w:pPr>
        <w:pStyle w:val="IUTECPTítulo2"/>
        <w:keepNext/>
        <w:keepLines/>
        <w:spacing w:before="480" w:after="480" w:line="360" w:lineRule="auto"/>
        <w:jc w:val="left"/>
      </w:pPr>
      <w:r>
        <w:rPr>
          <w:rFonts w:ascii="Times New Roman" w:hAnsi="Times New Roman"/>
          <w:b/>
          <w:sz w:val="24"/>
        </w:rPr>
        <w:t>Descripción de Actividades Ejecutadas por Semana</w:t>
      </w:r>
      <w:bookmarkEnd w:id="37"/>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pStyle w:val="IUTECPTítulo2"/>
        <w:keepNext/>
        <w:keepLines/>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Observación directa del flujo de requisiciones y registro de las primeras situaciones relacionadas con la recepción, seguimiento y control de las solicitudes de compra.</w:t>
      </w:r>
    </w:p>
    <w:p>
      <w:pPr>
        <w:pStyle w:val="IUTECPTítulo2"/>
        <w:keepNext/>
        <w:keepLines/>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Levantamiento del flujo secuencial del proceso de procura mediante observación directa y conversaciones de reconocimiento con el personal encargado.</w:t>
      </w:r>
    </w:p>
    <w:p>
      <w:pPr>
        <w:pStyle w:val="IUTECPTítulo2"/>
        <w:keepNext/>
        <w:keepLines/>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Aplicación de una guía de entrevista estructurada al personal relacionado con compras y administración para identificar demoras, duplicidades y dificultades de seguimiento.</w:t>
      </w:r>
    </w:p>
    <w:p>
      <w:pPr>
        <w:pStyle w:val="IUTECPTítulo2"/>
        <w:keepNext/>
        <w:keepLines/>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Revisión de expedientes históricos y análisis de tiempos de respuesta por fase con el propósito de determinar las etapas donde se concentran los mayores retrasos.</w:t>
      </w:r>
    </w:p>
    <w:p>
      <w:pPr>
        <w:pStyle w:val="IUTECPTítulo2"/>
        <w:keepNext/>
        <w:keepLines/>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Elaboración del diagrama de Ishikawa y jerarquización de las causas asociadas con retrasos, redundancias, falta de estandarización y dificultades de trazabilidad en la procura.</w:t>
      </w:r>
    </w:p>
    <w:p>
      <w:pPr>
        <w:pStyle w:val="IUTECPTítulo2"/>
        <w:keepNext/>
        <w:keepLines/>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del nuevo flujo simplificado del proceso de procura, definiendo etapas, responsables, puntos de control y tiempos de referencia para el seguimiento administrativo.</w:t>
      </w:r>
    </w:p>
    <w:p>
      <w:pPr>
        <w:pStyle w:val="IUTECPTítulo2"/>
        <w:keepNext/>
        <w:keepLines/>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pStyle w:val="IUTECPTítulo2"/>
        <w:keepNext/>
        <w:keepLines/>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Redacción de la propuesta de simplificación administrativa integrando el flujo diseñado, los formatos, la matriz de autorización y los mecanismos de seguimiento.</w:t>
      </w:r>
    </w:p>
    <w:p>
      <w:pPr>
        <w:pStyle w:val="IUTECPTítulo2"/>
        <w:keepNext/>
        <w:keepLines/>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Presentación de la propuesta al tutor industrial, registro de observaciones e incorporación de ajustes al documento final.</w:t>
      </w:r>
    </w:p>
    <w:p>
      <w:pPr>
        <w:pStyle w:val="IUTECPTítulo2"/>
        <w:keepNext/>
        <w:keepLines/>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análisis: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41"/>
          <w:footerReference w:type="first" r:id="rId42"/>
          <w:pgSz w:w="12240" w:h="15840"/>
          <w:pgMar w:top="1701" w:right="1701" w:bottom="1701" w:left="2268" w:header="720" w:footer="720" w:gutter="0"/>
          <w:cols w:space="720"/>
          <w:titlePg/>
          <w:docGrid w:linePitch="360"/>
          <w:pgNumType w:fmt="decimal"/>
        </w:sectPr>
      </w:pPr>
    </w:p>
    <w:p>
      <w:pPr>
        <w:keepNext/>
        <w:keepLines/>
        <w:spacing w:before="1140" w:after="480"/>
        <w:jc w:val="center"/>
      </w:pPr>
      <w:r>
        <w:rPr>
          <w:rFonts w:ascii="Times New Roman" w:hAnsi="Times New Roman"/>
          <w:b/>
          <w:sz w:val="24"/>
        </w:rPr>
        <w:t>CAPÍTULO V</w:t>
      </w:r>
    </w:p>
    <w:p>
      <w:bookmarkStart w:id="38" w:name="bm_cap5"/>
      <w:pPr>
        <w:pStyle w:val="IUTECPCapítulo"/>
        <w:spacing w:before="480"/>
        <w:jc w:val="center"/>
      </w:pPr>
      <w:r>
        <w:rPr>
          <w:rFonts w:ascii="Times New Roman" w:hAnsi="Times New Roman"/>
          <w:b/>
          <w:sz w:val="24"/>
        </w:rPr>
        <w:t>CONCLUSIONES Y RECOMENDACIONES</w:t>
      </w:r>
      <w:bookmarkEnd w:id="38"/>
    </w:p>
    <w:p>
      <w:bookmarkStart w:id="39" w:name="bm_cap5_concl"/>
      <w:pPr>
        <w:pStyle w:val="IUTECPTítulo2"/>
        <w:keepNext/>
        <w:keepLines/>
        <w:spacing w:before="480" w:after="480" w:line="360" w:lineRule="auto"/>
        <w:jc w:val="left"/>
      </w:pPr>
      <w:r>
        <w:rPr>
          <w:rFonts w:ascii="Times New Roman" w:hAnsi="Times New Roman"/>
          <w:b/>
          <w:sz w:val="24"/>
        </w:rPr>
        <w:t>Conclusiones</w:t>
      </w:r>
      <w:bookmarkEnd w:id="39"/>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de procura presenta un recorrido administrativo susceptible de simplificación, debido a la ausencia de un canal único de recepción de requisiciones y a la dispersión de algunos mecanismos de seguimiento utilizados durante las fases de compra.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factores de demora la falta de formatos uniformes, la limitada definición de criterios de autorización, el seguimiento manual del estatus de cotizaciones y la inexistencia de indicadores sencillos que permitan valorar el comportamiento del ciclo de adquisición.</w:t>
      </w:r>
    </w:p>
    <w:p>
      <w:pPr>
        <w:spacing w:line="360" w:lineRule="auto"/>
        <w:ind w:firstLine="709"/>
        <w:jc w:val="both"/>
      </w:pPr>
      <w:r>
        <w:rPr>
          <w:rFonts w:ascii="Times New Roman" w:hAnsi="Times New Roman"/>
          <w:sz w:val="24"/>
        </w:rPr>
        <w:t xml:space="preserve">3. </w:t>
      </w:r>
      <w:r>
        <w:rPr>
          <w:rFonts w:ascii="Times New Roman" w:hAnsi="Times New Roman"/>
          <w:sz w:val="24"/>
        </w:rPr>
        <w:t>Se formuló una propuesta de simplificación administrativa que integra un flujo de trabajo con responsables definidos, formatos estandarizados, una matriz de autorización por monto e indicadores de seguimiento, orientados a mejorar la trazabilidad y facilitar el control interno del proceso de procura.</w:t>
      </w:r>
    </w:p>
    <w:p>
      <w:bookmarkStart w:id="40" w:name="bm_cap5_recom"/>
      <w:pPr>
        <w:pStyle w:val="IUTECPTítulo2"/>
        <w:keepNext/>
        <w:keepLines/>
        <w:spacing w:before="480" w:after="480" w:line="360" w:lineRule="auto"/>
        <w:jc w:val="left"/>
      </w:pPr>
      <w:r>
        <w:rPr>
          <w:rFonts w:ascii="Times New Roman" w:hAnsi="Times New Roman"/>
          <w:b/>
          <w:sz w:val="24"/>
        </w:rPr>
        <w:t>Recomendaciones</w:t>
      </w:r>
      <w:bookmarkEnd w:id="40"/>
    </w:p>
    <w:p>
      <w:pPr>
        <w:spacing w:line="360" w:lineRule="auto"/>
        <w:ind w:firstLine="709"/>
        <w:jc w:val="both"/>
      </w:pPr>
      <w:r>
        <w:rPr>
          <w:rFonts w:ascii="Times New Roman" w:hAnsi="Times New Roman"/>
          <w:sz w:val="24"/>
        </w:rPr>
        <w:t xml:space="preserve">1. </w:t>
      </w:r>
      <w:r>
        <w:rPr>
          <w:rFonts w:ascii="Times New Roman" w:hAnsi="Times New Roman"/>
          <w:sz w:val="24"/>
        </w:rPr>
        <w:t>Implementar la propuesta de manera gradual, iniciando con la formalización del canal de recepción de requisiciones y la utilización uniforme de los formatos diseñados.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flujo simplificado, los responsables y los criterios de autorización con el personal involucrado en la procura antes de su aplicación general.</w:t>
      </w:r>
    </w:p>
    <w:p>
      <w:pPr>
        <w:spacing w:line="360" w:lineRule="auto"/>
        <w:ind w:firstLine="709"/>
        <w:jc w:val="both"/>
      </w:pPr>
      <w:r>
        <w:rPr>
          <w:rFonts w:ascii="Times New Roman" w:hAnsi="Times New Roman"/>
          <w:sz w:val="24"/>
        </w:rPr>
        <w:t xml:space="preserve">3. </w:t>
      </w:r>
      <w:r>
        <w:rPr>
          <w:rFonts w:ascii="Times New Roman" w:hAnsi="Times New Roman"/>
          <w:sz w:val="24"/>
        </w:rPr>
        <w:t>Registrar mensualmente indicadores básicos, como tiempo promedio del ciclo de compra, solicitudes pendientes y requisiciones tramitadas dentro del plazo definido, para valorar los resultados de la simplificación.</w:t>
      </w:r>
    </w:p>
    <w:p>
      <w:pPr>
        <w:spacing w:line="360" w:lineRule="auto"/>
        <w:ind w:firstLine="709"/>
        <w:jc w:val="both"/>
      </w:pPr>
      <w:r>
        <w:rPr>
          <w:rFonts w:ascii="Times New Roman" w:hAnsi="Times New Roman"/>
          <w:sz w:val="24"/>
        </w:rPr>
        <w:t xml:space="preserve">4. </w:t>
      </w:r>
      <w:r>
        <w:rPr>
          <w:rFonts w:ascii="Times New Roman" w:hAnsi="Times New Roman"/>
          <w:sz w:val="24"/>
        </w:rPr>
        <w:t>Revisar periódicamente el procedimiento y los formatos con el personal del Departamento Administrativo, incorporando ajustes cuando cambien las necesidades operativas de la empresa.</w:t>
      </w:r>
    </w:p>
    <w:p>
      <w:pPr>
        <w:sectPr>
          <w:footerReference w:type="default" r:id="rId43"/>
          <w:footerReference w:type="first" r:id="rId44"/>
          <w:pgSz w:w="12240" w:h="15840"/>
          <w:pgMar w:top="1701" w:right="1701" w:bottom="1701" w:left="2268" w:header="720" w:footer="720" w:gutter="0"/>
          <w:cols w:space="720"/>
          <w:titlePg/>
          <w:docGrid w:linePitch="360"/>
          <w:pgNumType w:fmt="decimal"/>
        </w:sectPr>
      </w:pPr>
    </w:p>
    <w:p>
      <w:bookmarkStart w:id="41" w:name="bm_referencias"/>
      <w:pPr>
        <w:pStyle w:val="IUTECPPreliminar"/>
        <w:keepNext/>
        <w:keepLines/>
        <w:spacing w:before="1140" w:after="480"/>
        <w:jc w:val="center"/>
      </w:pPr>
      <w:r>
        <w:rPr>
          <w:rFonts w:ascii="Times New Roman" w:hAnsi="Times New Roman"/>
          <w:b/>
          <w:sz w:val="24"/>
        </w:rPr>
        <w:t>REFERENCIAS</w:t>
      </w:r>
      <w:bookmarkEnd w:id="41"/>
    </w:p>
    <w:p>
      <w:pPr>
        <w:spacing w:before="480" w:after="0"/>
      </w:pPr>
    </w:p>
    <w:p>
      <w:pPr>
        <w:spacing w:line="240" w:lineRule="auto" w:after="480" w:before="0"/>
        <w:ind w:left="425" w:hanging="425"/>
        <w:jc w:val="both"/>
      </w:pPr>
      <w:r>
        <w:rPr>
          <w:rFonts w:ascii="Times New Roman" w:hAnsi="Times New Roman"/>
          <w:b w:val="0"/>
          <w:sz w:val="24"/>
        </w:rPr>
        <w:t xml:space="preserve">Asamblea Nacional Constituyente. (1999). </w:t>
      </w:r>
      <w:r>
        <w:rPr>
          <w:rFonts w:ascii="Times New Roman" w:hAnsi="Times New Roman"/>
          <w:b/>
          <w:sz w:val="24"/>
        </w:rPr>
        <w:t>Constitución de la República Bolivariana de Venezuela</w:t>
      </w:r>
      <w:r>
        <w:rPr>
          <w:rFonts w:ascii="Times New Roman" w:hAnsi="Times New Roman"/>
          <w:b w:val="0"/>
          <w:sz w:val="24"/>
        </w:rPr>
        <w:t>. Gaceta Oficial de la República Bolivariana de Venezuela.</w:t>
      </w:r>
    </w:p>
    <w:p>
      <w:pPr>
        <w:spacing w:line="240" w:lineRule="auto" w:after="480" w:before="0"/>
        <w:ind w:left="425" w:hanging="425"/>
        <w:jc w:val="both"/>
      </w:pPr>
      <w:r>
        <w:rPr>
          <w:rFonts w:ascii="Times New Roman" w:hAnsi="Times New Roman"/>
          <w:b w:val="0"/>
          <w:sz w:val="24"/>
        </w:rPr>
        <w:t xml:space="preserve">Chiavenato, I. (2006). </w:t>
      </w:r>
      <w:r>
        <w:rPr>
          <w:rFonts w:ascii="Times New Roman" w:hAnsi="Times New Roman"/>
          <w:b/>
          <w:sz w:val="24"/>
        </w:rPr>
        <w:t>Introducción a la teoría general de la administración (7ma ed.)</w:t>
      </w:r>
      <w:r>
        <w:rPr>
          <w:rFonts w:ascii="Times New Roman" w:hAnsi="Times New Roman"/>
          <w:b w:val="0"/>
          <w:sz w:val="24"/>
        </w:rPr>
        <w:t>. McGraw-Hill, México.</w:t>
      </w:r>
    </w:p>
    <w:p>
      <w:pPr>
        <w:spacing w:line="240" w:lineRule="auto" w:after="480" w:before="0"/>
        <w:ind w:left="425" w:hanging="425"/>
        <w:jc w:val="both"/>
      </w:pPr>
      <w:r>
        <w:rPr>
          <w:rFonts w:ascii="Times New Roman" w:hAnsi="Times New Roman"/>
          <w:b w:val="0"/>
          <w:sz w:val="24"/>
        </w:rPr>
        <w:t xml:space="preserve">Congreso de la República de Venezuela. (1955). </w:t>
      </w:r>
      <w:r>
        <w:rPr>
          <w:rFonts w:ascii="Times New Roman" w:hAnsi="Times New Roman"/>
          <w:b/>
          <w:sz w:val="24"/>
        </w:rPr>
        <w:t>Código de Comercio</w:t>
      </w:r>
      <w:r>
        <w:rPr>
          <w:rFonts w:ascii="Times New Roman" w:hAnsi="Times New Roman"/>
          <w:b w:val="0"/>
          <w:sz w:val="24"/>
        </w:rPr>
        <w:t>. Gaceta Oficial Extraordinaria N.º 475.</w:t>
      </w:r>
    </w:p>
    <w:p>
      <w:pPr>
        <w:spacing w:line="240" w:lineRule="auto" w:after="480" w:before="0"/>
        <w:ind w:left="425" w:hanging="425"/>
        <w:jc w:val="both"/>
      </w:pPr>
      <w:r>
        <w:rPr>
          <w:rFonts w:ascii="Times New Roman" w:hAnsi="Times New Roman"/>
          <w:b w:val="0"/>
          <w:sz w:val="24"/>
        </w:rPr>
        <w:t xml:space="preserve">Harrington, H. J. (1993). </w:t>
      </w:r>
      <w:r>
        <w:rPr>
          <w:rFonts w:ascii="Times New Roman" w:hAnsi="Times New Roman"/>
          <w:b/>
          <w:sz w:val="24"/>
        </w:rPr>
        <w:t>Mejoramiento de los procesos de la empresa</w:t>
      </w:r>
      <w:r>
        <w:rPr>
          <w:rFonts w:ascii="Times New Roman" w:hAnsi="Times New Roman"/>
          <w:b w:val="0"/>
          <w:sz w:val="24"/>
        </w:rPr>
        <w:t>. McGraw-Hill, Colombia.</w:t>
      </w:r>
    </w:p>
    <w:p>
      <w:pPr>
        <w:spacing w:line="240" w:lineRule="auto" w:after="480" w:before="0"/>
        <w:ind w:left="425" w:hanging="425"/>
        <w:jc w:val="both"/>
      </w:pPr>
      <w:r>
        <w:rPr>
          <w:rFonts w:ascii="Times New Roman" w:hAnsi="Times New Roman"/>
          <w:b w:val="0"/>
          <w:sz w:val="24"/>
        </w:rPr>
        <w:t xml:space="preserve">Mantilla, S. (2005). </w:t>
      </w:r>
      <w:r>
        <w:rPr>
          <w:rFonts w:ascii="Times New Roman" w:hAnsi="Times New Roman"/>
          <w:b/>
          <w:sz w:val="24"/>
        </w:rPr>
        <w:t>Control interno: Informe COSO (4ta ed.)</w:t>
      </w:r>
      <w:r>
        <w:rPr>
          <w:rFonts w:ascii="Times New Roman" w:hAnsi="Times New Roman"/>
          <w:b w:val="0"/>
          <w:sz w:val="24"/>
        </w:rPr>
        <w:t>. Ecoe Ediciones, Colombia.</w:t>
      </w:r>
    </w:p>
    <w:p>
      <w:pPr>
        <w:spacing w:line="240" w:lineRule="auto" w:after="480" w:before="0"/>
        <w:ind w:left="425" w:hanging="425"/>
        <w:jc w:val="both"/>
      </w:pPr>
      <w:r>
        <w:rPr>
          <w:rFonts w:ascii="Times New Roman" w:hAnsi="Times New Roman"/>
          <w:b w:val="0"/>
          <w:sz w:val="24"/>
        </w:rPr>
        <w:t xml:space="preserve">Monterroso, E. (2002). </w:t>
      </w:r>
      <w:r>
        <w:rPr>
          <w:rFonts w:ascii="Times New Roman" w:hAnsi="Times New Roman"/>
          <w:b/>
          <w:sz w:val="24"/>
        </w:rPr>
        <w:t>El proceso de abastecimiento: El aprovisionamiento</w:t>
      </w:r>
      <w:r>
        <w:rPr>
          <w:rFonts w:ascii="Times New Roman" w:hAnsi="Times New Roman"/>
          <w:b w:val="0"/>
          <w:sz w:val="24"/>
        </w:rPr>
        <w:t>. Universidad Nacional de Luján, Argentina.</w:t>
      </w:r>
    </w:p>
    <w:p>
      <w:pPr>
        <w:sectPr>
          <w:footerReference w:type="default" r:id="rId45"/>
          <w:footerReference w:type="first" r:id="rId46"/>
          <w:pgSz w:w="12240" w:h="15840"/>
          <w:pgMar w:top="1701" w:right="1701" w:bottom="1701" w:left="2268" w:header="720" w:footer="720" w:gutter="0"/>
          <w:cols w:space="720"/>
          <w:titlePg/>
          <w:docGrid w:linePitch="360"/>
          <w:pgNumType w:fmt="decimal"/>
        </w:sectPr>
      </w:pPr>
    </w:p>
    <w:p>
      <w:bookmarkStart w:id="42" w:name="bm_anexos"/>
      <w:pPr>
        <w:spacing w:before="6075"/>
        <w:jc w:val="center"/>
      </w:pPr>
      <w:r>
        <w:rPr>
          <w:rFonts w:ascii="Times New Roman" w:hAnsi="Times New Roman"/>
          <w:b/>
          <w:sz w:val="24"/>
        </w:rPr>
        <w:t>ANEXOS</w:t>
      </w:r>
      <w:bookmarkEnd w:id="42"/>
    </w:p>
    <w:p>
      <w:pPr>
        <w:sectPr>
          <w:footerReference w:type="default" r:id="rId47"/>
          <w:pgSz w:w="12240" w:h="15840"/>
          <w:pgMar w:top="1701" w:right="1701" w:bottom="1701" w:left="2268" w:header="720" w:footer="720" w:gutter="0"/>
          <w:cols w:space="720"/>
          <w:docGrid w:linePitch="360"/>
          <w:pgNumType w:fmt="decimal"/>
        </w:sectPr>
      </w:pPr>
    </w:p>
    <w:p>
      <w:bookmarkStart w:id="43" w:name="bm_anexoA"/>
      <w:pPr>
        <w:keepNext/>
        <w:keepLines/>
        <w:spacing w:before="0" w:after="480"/>
        <w:jc w:val="center"/>
      </w:pPr>
      <w:bookmarkEnd w:id="43"/>
      <w:r>
        <w:rPr>
          <w:rFonts w:ascii="Times New Roman" w:hAnsi="Times New Roman"/>
          <w:b/>
          <w:sz w:val="20"/>
        </w:rPr>
        <w:t>ANEXO A</w:t>
      </w:r>
    </w:p>
    <w:p>
      <w:pPr>
        <w:keepNext/>
        <w:keepLines/>
        <w:spacing w:before="240" w:after="480"/>
        <w:jc w:val="center"/>
      </w:pPr>
      <w:r>
        <w:rPr>
          <w:rFonts w:ascii="Times New Roman" w:hAnsi="Times New Roman"/>
          <w:b/>
          <w:sz w:val="20"/>
        </w:rPr>
        <w:t>[Diagrama de Ishikawa de las causas asociadas a las demoras del proceso de procura]</w:t>
      </w:r>
    </w:p>
    <w:p>
      <w:pPr>
        <w:keepNext/>
        <w:keepLines/>
        <w:jc w:val="center"/>
      </w:pPr>
      <w:r>
        <w:drawing>
          <wp:inline xmlns:a="http://schemas.openxmlformats.org/drawingml/2006/main" xmlns:pic="http://schemas.openxmlformats.org/drawingml/2006/picture">
            <wp:extent cx="4680000" cy="778671"/>
            <wp:docPr id="7" name="Picture 7"/>
            <wp:cNvGraphicFramePr>
              <a:graphicFrameLocks noChangeAspect="1"/>
            </wp:cNvGraphicFramePr>
            <a:graphic>
              <a:graphicData uri="http://schemas.openxmlformats.org/drawingml/2006/picture">
                <pic:pic>
                  <pic:nvPicPr>
                    <pic:cNvPr id="0" name="01_ishikawa_demoras_procura.png"/>
                    <pic:cNvPicPr/>
                  </pic:nvPicPr>
                  <pic:blipFill>
                    <a:blip r:embed="rId15"/>
                    <a:stretch>
                      <a:fillRect/>
                    </a:stretch>
                  </pic:blipFill>
                  <pic:spPr>
                    <a:xfrm>
                      <a:off x="0" y="0"/>
                      <a:ext cx="4680000" cy="778671"/>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8"/>
          <w:pgSz w:w="12240" w:h="15840"/>
          <w:pgMar w:top="1701" w:right="1701" w:bottom="1701" w:left="2268" w:header="720" w:footer="720" w:gutter="0"/>
          <w:cols w:space="720"/>
          <w:docGrid w:linePitch="360"/>
          <w:pgNumType w:fmt="decimal"/>
        </w:sectPr>
      </w:pPr>
    </w:p>
    <w:p>
      <w:bookmarkStart w:id="44" w:name="bm_anexoB"/>
      <w:pPr>
        <w:keepNext/>
        <w:keepLines/>
        <w:spacing w:before="0" w:after="480"/>
        <w:jc w:val="center"/>
      </w:pPr>
      <w:bookmarkEnd w:id="44"/>
      <w:r>
        <w:rPr>
          <w:rFonts w:ascii="Times New Roman" w:hAnsi="Times New Roman"/>
          <w:b/>
          <w:sz w:val="20"/>
        </w:rPr>
        <w:t>ANEXO B</w:t>
      </w:r>
    </w:p>
    <w:p>
      <w:pPr>
        <w:keepNext/>
        <w:keepLines/>
        <w:spacing w:before="240" w:after="480"/>
        <w:jc w:val="center"/>
      </w:pPr>
      <w:r>
        <w:rPr>
          <w:rFonts w:ascii="Times New Roman" w:hAnsi="Times New Roman"/>
          <w:b/>
          <w:sz w:val="20"/>
        </w:rPr>
        <w:t>[Flujograma AS-IS del proceso actual de procura]</w:t>
      </w:r>
    </w:p>
    <w:p>
      <w:pPr>
        <w:keepNext/>
        <w:keepLines/>
        <w:jc w:val="center"/>
      </w:pPr>
      <w:r>
        <w:drawing>
          <wp:inline xmlns:a="http://schemas.openxmlformats.org/drawingml/2006/main" xmlns:pic="http://schemas.openxmlformats.org/drawingml/2006/picture">
            <wp:extent cx="2763891" cy="5400000"/>
            <wp:docPr id="8" name="Picture 8"/>
            <wp:cNvGraphicFramePr>
              <a:graphicFrameLocks noChangeAspect="1"/>
            </wp:cNvGraphicFramePr>
            <a:graphic>
              <a:graphicData uri="http://schemas.openxmlformats.org/drawingml/2006/picture">
                <pic:pic>
                  <pic:nvPicPr>
                    <pic:cNvPr id="0" name="02_flujo_as_is_procura.png"/>
                    <pic:cNvPicPr/>
                  </pic:nvPicPr>
                  <pic:blipFill>
                    <a:blip r:embed="rId16"/>
                    <a:stretch>
                      <a:fillRect/>
                    </a:stretch>
                  </pic:blipFill>
                  <pic:spPr>
                    <a:xfrm>
                      <a:off x="0" y="0"/>
                      <a:ext cx="2763891"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49"/>
          <w:pgSz w:w="12240" w:h="15840"/>
          <w:pgMar w:top="1701" w:right="1701" w:bottom="1701" w:left="2268" w:header="720" w:footer="720" w:gutter="0"/>
          <w:cols w:space="720"/>
          <w:docGrid w:linePitch="360"/>
          <w:pgNumType w:fmt="decimal"/>
        </w:sectPr>
      </w:pPr>
    </w:p>
    <w:p>
      <w:bookmarkStart w:id="45" w:name="bm_anexoC"/>
      <w:pPr>
        <w:keepNext/>
        <w:keepLines/>
        <w:spacing w:before="0" w:after="480"/>
        <w:jc w:val="center"/>
      </w:pPr>
      <w:bookmarkEnd w:id="45"/>
      <w:r>
        <w:rPr>
          <w:rFonts w:ascii="Times New Roman" w:hAnsi="Times New Roman"/>
          <w:b/>
          <w:sz w:val="20"/>
        </w:rPr>
        <w:t>ANEXO C</w:t>
      </w:r>
    </w:p>
    <w:p>
      <w:pPr>
        <w:keepNext/>
        <w:keepLines/>
        <w:spacing w:before="240" w:after="480"/>
        <w:jc w:val="center"/>
      </w:pPr>
      <w:r>
        <w:rPr>
          <w:rFonts w:ascii="Times New Roman" w:hAnsi="Times New Roman"/>
          <w:b/>
          <w:sz w:val="20"/>
        </w:rPr>
        <w:t>[Flujograma TO-BE del proceso simplificado propuesto]</w:t>
      </w:r>
    </w:p>
    <w:p>
      <w:pPr>
        <w:keepNext/>
        <w:keepLines/>
        <w:jc w:val="center"/>
      </w:pPr>
      <w:r>
        <w:drawing>
          <wp:inline xmlns:a="http://schemas.openxmlformats.org/drawingml/2006/main" xmlns:pic="http://schemas.openxmlformats.org/drawingml/2006/picture">
            <wp:extent cx="2205488" cy="5400000"/>
            <wp:docPr id="9" name="Picture 9"/>
            <wp:cNvGraphicFramePr>
              <a:graphicFrameLocks noChangeAspect="1"/>
            </wp:cNvGraphicFramePr>
            <a:graphic>
              <a:graphicData uri="http://schemas.openxmlformats.org/drawingml/2006/picture">
                <pic:pic>
                  <pic:nvPicPr>
                    <pic:cNvPr id="0" name="03_flujo_to_be_procura.png"/>
                    <pic:cNvPicPr/>
                  </pic:nvPicPr>
                  <pic:blipFill>
                    <a:blip r:embed="rId17"/>
                    <a:stretch>
                      <a:fillRect/>
                    </a:stretch>
                  </pic:blipFill>
                  <pic:spPr>
                    <a:xfrm>
                      <a:off x="0" y="0"/>
                      <a:ext cx="2205488" cy="540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0"/>
          <w:pgSz w:w="12240" w:h="15840"/>
          <w:pgMar w:top="1701" w:right="1701" w:bottom="1701" w:left="2268" w:header="720" w:footer="720" w:gutter="0"/>
          <w:cols w:space="720"/>
          <w:docGrid w:linePitch="360"/>
          <w:pgNumType w:fmt="decimal"/>
        </w:sectPr>
      </w:pPr>
    </w:p>
    <w:p>
      <w:bookmarkStart w:id="46" w:name="bm_anexoD"/>
      <w:pPr>
        <w:keepNext/>
        <w:keepLines/>
        <w:spacing w:before="0" w:after="480"/>
        <w:jc w:val="center"/>
      </w:pPr>
      <w:bookmarkEnd w:id="46"/>
      <w:r>
        <w:rPr>
          <w:rFonts w:ascii="Times New Roman" w:hAnsi="Times New Roman"/>
          <w:b/>
          <w:sz w:val="20"/>
        </w:rPr>
        <w:t>ANEXO D</w:t>
      </w:r>
    </w:p>
    <w:p>
      <w:pPr>
        <w:keepNext/>
        <w:keepLines/>
        <w:spacing w:before="240" w:after="480"/>
        <w:jc w:val="center"/>
      </w:pPr>
      <w:r>
        <w:rPr>
          <w:rFonts w:ascii="Times New Roman" w:hAnsi="Times New Roman"/>
          <w:b/>
          <w:sz w:val="20"/>
        </w:rPr>
        <w:t>[Swimlane del proceso propuesto de procura]</w:t>
      </w:r>
    </w:p>
    <w:p>
      <w:pPr>
        <w:keepNext/>
        <w:keepLines/>
        <w:jc w:val="center"/>
      </w:pPr>
      <w:r>
        <w:drawing>
          <wp:inline xmlns:a="http://schemas.openxmlformats.org/drawingml/2006/main" xmlns:pic="http://schemas.openxmlformats.org/drawingml/2006/picture">
            <wp:extent cx="5040000" cy="4543987"/>
            <wp:docPr id="10" name="Picture 10"/>
            <wp:cNvGraphicFramePr>
              <a:graphicFrameLocks noChangeAspect="1"/>
            </wp:cNvGraphicFramePr>
            <a:graphic>
              <a:graphicData uri="http://schemas.openxmlformats.org/drawingml/2006/picture">
                <pic:pic>
                  <pic:nvPicPr>
                    <pic:cNvPr id="0" name="04_swimlane_procura.png"/>
                    <pic:cNvPicPr/>
                  </pic:nvPicPr>
                  <pic:blipFill>
                    <a:blip r:embed="rId18"/>
                    <a:stretch>
                      <a:fillRect/>
                    </a:stretch>
                  </pic:blipFill>
                  <pic:spPr>
                    <a:xfrm>
                      <a:off x="0" y="0"/>
                      <a:ext cx="5040000" cy="454398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1"/>
          <w:pgSz w:w="12240" w:h="15840"/>
          <w:pgMar w:top="1701" w:right="1701" w:bottom="1701" w:left="2268" w:header="720" w:footer="720" w:gutter="0"/>
          <w:cols w:space="720"/>
          <w:docGrid w:linePitch="360"/>
          <w:pgNumType w:fmt="decimal"/>
        </w:sectPr>
      </w:pPr>
    </w:p>
    <w:p>
      <w:bookmarkStart w:id="47" w:name="bm_anexoE"/>
      <w:pPr>
        <w:keepNext/>
        <w:keepLines/>
        <w:spacing w:before="0" w:after="480"/>
        <w:jc w:val="center"/>
      </w:pPr>
      <w:bookmarkEnd w:id="47"/>
      <w:r>
        <w:rPr>
          <w:rFonts w:ascii="Times New Roman" w:hAnsi="Times New Roman"/>
          <w:b/>
          <w:sz w:val="20"/>
        </w:rPr>
        <w:t>ANEXO E</w:t>
      </w:r>
    </w:p>
    <w:p>
      <w:pPr>
        <w:keepNext/>
        <w:keepLines/>
        <w:spacing w:before="240" w:after="480"/>
        <w:jc w:val="center"/>
      </w:pPr>
      <w:r>
        <w:rPr>
          <w:rFonts w:ascii="Times New Roman" w:hAnsi="Times New Roman"/>
          <w:b/>
          <w:sz w:val="20"/>
        </w:rPr>
        <w:t>[SIPOC del proceso de procura]</w:t>
      </w:r>
    </w:p>
    <w:p>
      <w:pPr>
        <w:keepNext/>
        <w:keepLines/>
        <w:jc w:val="center"/>
      </w:pPr>
      <w:r>
        <w:drawing>
          <wp:inline xmlns:a="http://schemas.openxmlformats.org/drawingml/2006/main" xmlns:pic="http://schemas.openxmlformats.org/drawingml/2006/picture">
            <wp:extent cx="4397917" cy="5040000"/>
            <wp:docPr id="11" name="Picture 11"/>
            <wp:cNvGraphicFramePr>
              <a:graphicFrameLocks noChangeAspect="1"/>
            </wp:cNvGraphicFramePr>
            <a:graphic>
              <a:graphicData uri="http://schemas.openxmlformats.org/drawingml/2006/picture">
                <pic:pic>
                  <pic:nvPicPr>
                    <pic:cNvPr id="0" name="05_sipoc_procura.png"/>
                    <pic:cNvPicPr/>
                  </pic:nvPicPr>
                  <pic:blipFill>
                    <a:blip r:embed="rId19"/>
                    <a:stretch>
                      <a:fillRect/>
                    </a:stretch>
                  </pic:blipFill>
                  <pic:spPr>
                    <a:xfrm>
                      <a:off x="0" y="0"/>
                      <a:ext cx="4397917" cy="5040000"/>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2"/>
          <w:pgSz w:w="12240" w:h="15840"/>
          <w:pgMar w:top="1701" w:right="1701" w:bottom="1701" w:left="2268" w:header="720" w:footer="720" w:gutter="0"/>
          <w:cols w:space="720"/>
          <w:docGrid w:linePitch="360"/>
          <w:pgNumType w:fmt="decimal"/>
        </w:sectPr>
      </w:pPr>
    </w:p>
    <w:p>
      <w:bookmarkStart w:id="48" w:name="bm_anexoF"/>
      <w:pPr>
        <w:keepNext/>
        <w:keepLines/>
        <w:spacing w:before="0" w:after="480"/>
        <w:jc w:val="center"/>
      </w:pPr>
      <w:bookmarkEnd w:id="48"/>
      <w:r>
        <w:rPr>
          <w:rFonts w:ascii="Times New Roman" w:hAnsi="Times New Roman"/>
          <w:b/>
          <w:sz w:val="20"/>
        </w:rPr>
        <w:t>ANEXO F</w:t>
      </w:r>
    </w:p>
    <w:p>
      <w:pPr>
        <w:keepNext/>
        <w:keepLines/>
        <w:spacing w:before="240" w:after="480"/>
        <w:jc w:val="center"/>
      </w:pPr>
      <w:r>
        <w:rPr>
          <w:rFonts w:ascii="Times New Roman" w:hAnsi="Times New Roman"/>
          <w:b/>
          <w:sz w:val="20"/>
        </w:rPr>
        <w:t>[Matriz RACI propuesta del proceso de procura]</w:t>
      </w:r>
    </w:p>
    <w:p>
      <w:pPr>
        <w:keepNext/>
        <w:keepLines/>
        <w:jc w:val="center"/>
      </w:pPr>
      <w:r>
        <w:drawing>
          <wp:inline xmlns:a="http://schemas.openxmlformats.org/drawingml/2006/main" xmlns:pic="http://schemas.openxmlformats.org/drawingml/2006/picture">
            <wp:extent cx="5040000" cy="1349827"/>
            <wp:docPr id="12" name="Picture 12"/>
            <wp:cNvGraphicFramePr>
              <a:graphicFrameLocks noChangeAspect="1"/>
            </wp:cNvGraphicFramePr>
            <a:graphic>
              <a:graphicData uri="http://schemas.openxmlformats.org/drawingml/2006/picture">
                <pic:pic>
                  <pic:nvPicPr>
                    <pic:cNvPr id="0" name="06_matriz_raci_propuesta.png"/>
                    <pic:cNvPicPr/>
                  </pic:nvPicPr>
                  <pic:blipFill>
                    <a:blip r:embed="rId20"/>
                    <a:stretch>
                      <a:fillRect/>
                    </a:stretch>
                  </pic:blipFill>
                  <pic:spPr>
                    <a:xfrm>
                      <a:off x="0" y="0"/>
                      <a:ext cx="5040000" cy="1349827"/>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p>
      <w:pPr>
        <w:sectPr>
          <w:footerReference w:type="default" r:id="rId53"/>
          <w:pgSz w:w="12240" w:h="15840"/>
          <w:pgMar w:top="1701" w:right="1701" w:bottom="1701" w:left="2268" w:header="720" w:footer="720" w:gutter="0"/>
          <w:cols w:space="720"/>
          <w:docGrid w:linePitch="360"/>
          <w:pgNumType w:fmt="decimal"/>
        </w:sectPr>
      </w:pPr>
    </w:p>
    <w:p>
      <w:bookmarkStart w:id="49" w:name="bm_anexoG"/>
      <w:pPr>
        <w:keepNext/>
        <w:keepLines/>
        <w:spacing w:before="0" w:after="480"/>
        <w:jc w:val="center"/>
      </w:pPr>
      <w:bookmarkEnd w:id="49"/>
      <w:r>
        <w:rPr>
          <w:rFonts w:ascii="Times New Roman" w:hAnsi="Times New Roman"/>
          <w:b/>
          <w:sz w:val="20"/>
        </w:rPr>
        <w:t>ANEXO G</w:t>
      </w:r>
    </w:p>
    <w:p>
      <w:pPr>
        <w:keepNext/>
        <w:keepLines/>
        <w:spacing w:before="240" w:after="480"/>
        <w:jc w:val="center"/>
      </w:pPr>
      <w:r>
        <w:rPr>
          <w:rFonts w:ascii="Times New Roman" w:hAnsi="Times New Roman"/>
          <w:b/>
          <w:sz w:val="20"/>
        </w:rPr>
        <w:t>[Diagrama de Ishikawa definitivo de las causas asociadas a las demoras y pérdida de trazabilidad del proceso de procura]</w:t>
      </w:r>
    </w:p>
    <w:p>
      <w:pPr>
        <w:keepNext/>
        <w:keepLines/>
        <w:jc w:val="center"/>
      </w:pPr>
      <w:r>
        <w:drawing>
          <wp:inline xmlns:a="http://schemas.openxmlformats.org/drawingml/2006/main" xmlns:pic="http://schemas.openxmlformats.org/drawingml/2006/picture">
            <wp:extent cx="5040000" cy="1524534"/>
            <wp:docPr id="13" name="Picture 13"/>
            <wp:cNvGraphicFramePr>
              <a:graphicFrameLocks noChangeAspect="1"/>
            </wp:cNvGraphicFramePr>
            <a:graphic>
              <a:graphicData uri="http://schemas.openxmlformats.org/drawingml/2006/picture">
                <pic:pic>
                  <pic:nvPicPr>
                    <pic:cNvPr id="0" name="ishikawa_keidy_procura.png"/>
                    <pic:cNvPicPr/>
                  </pic:nvPicPr>
                  <pic:blipFill>
                    <a:blip r:embed="rId21"/>
                    <a:stretch>
                      <a:fillRect/>
                    </a:stretch>
                  </pic:blipFill>
                  <pic:spPr>
                    <a:xfrm>
                      <a:off x="0" y="0"/>
                      <a:ext cx="5040000" cy="1524534"/>
                    </a:xfrm>
                    <a:prstGeom prst="rect"/>
                  </pic:spPr>
                </pic:pic>
              </a:graphicData>
            </a:graphic>
          </wp:inline>
        </w:drawing>
      </w:r>
    </w:p>
    <w:p>
      <w:pPr>
        <w:spacing w:line="240" w:lineRule="auto" w:before="0" w:after="240"/>
        <w:ind w:firstLine="0"/>
        <w:jc w:val="center"/>
      </w:pPr>
      <w:r>
        <w:rPr>
          <w:rFonts w:ascii="Times New Roman" w:hAnsi="Times New Roman"/>
          <w:i/>
          <w:sz w:val="20"/>
        </w:rPr>
        <w:t xml:space="preserve">Fuente: </w:t>
      </w:r>
      <w:r>
        <w:rPr>
          <w:rFonts w:ascii="Times New Roman" w:hAnsi="Times New Roman"/>
          <w:sz w:val="20"/>
        </w:rPr>
        <w:t>Elaboración propia (2026).</w:t>
      </w:r>
    </w:p>
    <w:sectPr w:rsidR="00FC693F" w:rsidRPr="0006063C" w:rsidSect="00034616">
      <w:footerReference w:type="default" r:id="rId54"/>
      <w:pgSz w:w="12240" w:h="15840"/>
      <w:pgMar w:top="1701" w:right="1701" w:bottom="1701" w:left="2268" w:header="720" w:footer="720" w:gutter="0"/>
      <w:cols w:space="720"/>
      <w:docGrid w:linePitch="360"/>
      <w:pgNumType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UTECPCapítulo">
    <w:name w:val="IUTECP Capítulo"/>
    <w:basedOn w:val="Normal"/>
    <w:pPr>
      <w:keepNext/>
      <w:keepLines/>
      <w:jc w:val="center"/>
      <w:outlineLvl w:val="0"/>
    </w:pPr>
    <w:rPr>
      <w:rFonts w:ascii="Times New Roman" w:hAnsi="Times New Roman"/>
      <w:b/>
      <w:sz w:val="24"/>
    </w:rPr>
  </w:style>
  <w:style w:type="paragraph" w:customStyle="1" w:styleId="IUTECPPreliminar">
    <w:name w:val="IUTECP Preliminar"/>
    <w:basedOn w:val="Normal"/>
    <w:pPr>
      <w:keepNext/>
      <w:keepLines/>
      <w:jc w:val="center"/>
      <w:outlineLvl w:val="0"/>
    </w:pPr>
    <w:rPr>
      <w:rFonts w:ascii="Times New Roman" w:hAnsi="Times New Roman"/>
      <w:b/>
      <w:sz w:val="24"/>
    </w:rPr>
  </w:style>
  <w:style w:type="paragraph" w:customStyle="1" w:styleId="IUTECPTítulo2">
    <w:name w:val="IUTECP Título 2"/>
    <w:basedOn w:val="Normal"/>
    <w:pPr>
      <w:keepNext/>
      <w:keepLines/>
      <w:jc w:val="left"/>
      <w:outlineLvl w:val="1"/>
    </w:pPr>
    <w:rPr>
      <w:rFonts w:ascii="Times New Roman" w:hAnsi="Times New Roman"/>
      <w:b/>
      <w:sz w:val="24"/>
    </w:rPr>
  </w:style>
  <w:style w:type="paragraph" w:customStyle="1" w:styleId="IUTECPTítulo3">
    <w:name w:val="IUTECP Título 3"/>
    <w:basedOn w:val="Normal"/>
    <w:pPr>
      <w:keepNext/>
      <w:keepLines/>
      <w:jc w:val="left"/>
      <w:outlineLvl w:val="2"/>
    </w:pPr>
    <w:rPr>
      <w:rFonts w:ascii="Times New Roman" w:hAnsi="Times New Roman"/>
      <w:b/>
      <w:sz w:val="24"/>
    </w:rPr>
  </w:style>
  <w:style w:type="paragraph" w:customStyle="1" w:styleId="IUTECPSubtítulocentrado">
    <w:name w:val="IUTECP Subtítulo centrado"/>
    <w:basedOn w:val="Normal"/>
    <w:pPr>
      <w:keepNext/>
      <w:keepLines/>
      <w:jc w:val="center"/>
      <w:outlineLvl w:val="1"/>
    </w:pPr>
    <w:rPr>
      <w:rFonts w:ascii="Times New Roman" w:hAnsi="Times New Roman"/>
      <w:b/>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1.xml"/><Relationship Id="rId23" Type="http://schemas.openxmlformats.org/officeDocument/2006/relationships/footer" Target="footer2.xml"/><Relationship Id="rId24" Type="http://schemas.openxmlformats.org/officeDocument/2006/relationships/footer" Target="footer3.xml"/><Relationship Id="rId25" Type="http://schemas.openxmlformats.org/officeDocument/2006/relationships/footer" Target="footer4.xml"/><Relationship Id="rId26" Type="http://schemas.openxmlformats.org/officeDocument/2006/relationships/footer" Target="footer5.xml"/><Relationship Id="rId27" Type="http://schemas.openxmlformats.org/officeDocument/2006/relationships/footer" Target="footer6.xml"/><Relationship Id="rId28" Type="http://schemas.openxmlformats.org/officeDocument/2006/relationships/footer" Target="footer7.xml"/><Relationship Id="rId29" Type="http://schemas.openxmlformats.org/officeDocument/2006/relationships/footer" Target="footer8.xml"/><Relationship Id="rId30" Type="http://schemas.openxmlformats.org/officeDocument/2006/relationships/footer" Target="footer9.xml"/><Relationship Id="rId31" Type="http://schemas.openxmlformats.org/officeDocument/2006/relationships/footer" Target="footer10.xml"/><Relationship Id="rId32" Type="http://schemas.openxmlformats.org/officeDocument/2006/relationships/footer" Target="footer11.xml"/><Relationship Id="rId33" Type="http://schemas.openxmlformats.org/officeDocument/2006/relationships/footer" Target="footer12.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footer" Target="footer16.xml"/><Relationship Id="rId38" Type="http://schemas.openxmlformats.org/officeDocument/2006/relationships/footer" Target="footer17.xml"/><Relationship Id="rId39" Type="http://schemas.openxmlformats.org/officeDocument/2006/relationships/footer" Target="footer18.xml"/><Relationship Id="rId40" Type="http://schemas.openxmlformats.org/officeDocument/2006/relationships/footer" Target="footer19.xml"/><Relationship Id="rId41" Type="http://schemas.openxmlformats.org/officeDocument/2006/relationships/footer" Target="footer20.xml"/><Relationship Id="rId42" Type="http://schemas.openxmlformats.org/officeDocument/2006/relationships/footer" Target="footer21.xml"/><Relationship Id="rId43" Type="http://schemas.openxmlformats.org/officeDocument/2006/relationships/footer" Target="footer22.xml"/><Relationship Id="rId44" Type="http://schemas.openxmlformats.org/officeDocument/2006/relationships/footer" Target="footer23.xml"/><Relationship Id="rId45" Type="http://schemas.openxmlformats.org/officeDocument/2006/relationships/footer" Target="footer24.xml"/><Relationship Id="rId46" Type="http://schemas.openxmlformats.org/officeDocument/2006/relationships/footer" Target="footer25.xml"/><Relationship Id="rId47" Type="http://schemas.openxmlformats.org/officeDocument/2006/relationships/footer" Target="footer26.xml"/><Relationship Id="rId48" Type="http://schemas.openxmlformats.org/officeDocument/2006/relationships/footer" Target="footer27.xml"/><Relationship Id="rId49" Type="http://schemas.openxmlformats.org/officeDocument/2006/relationships/footer" Target="footer28.xml"/><Relationship Id="rId50" Type="http://schemas.openxmlformats.org/officeDocument/2006/relationships/footer" Target="footer29.xml"/><Relationship Id="rId51" Type="http://schemas.openxmlformats.org/officeDocument/2006/relationships/footer" Target="footer30.xml"/><Relationship Id="rId52" Type="http://schemas.openxmlformats.org/officeDocument/2006/relationships/footer" Target="footer31.xml"/><Relationship Id="rId53" Type="http://schemas.openxmlformats.org/officeDocument/2006/relationships/footer" Target="footer32.xml"/><Relationship Id="rId54" Type="http://schemas.openxmlformats.org/officeDocument/2006/relationships/footer" Target="footer3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