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Diagrama de Ishikawa de las causas asociadas a las demoras del proceso de procura</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del proceso actual de procura</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Flujograma TO-BE del proceso simplificado propuesto</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Swimlane del proceso propuesto de procura</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SIPOC del proceso de procura</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Matriz RACI propuesta del proceso de procura</w:t>
        <w:tab/>
      </w:r>
      <w:r>
        <w:rPr/>
        <w:fldChar w:fldCharType="begin"/>
      </w:r>
      <w:r>
        <w:rPr/>
        <w:instrText xml:space="preserve"> PAGEREF bm_anexoF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G</w:t>
        <w:tab/>
        <w:t>Diagrama de Ishikawa definitivo de las causas asociadas a las demoras y pérdida de trazabilidad del proceso de procura</w:t>
        <w:tab/>
      </w:r>
      <w:r>
        <w:rPr/>
        <w:fldChar w:fldCharType="begin"/>
      </w:r>
      <w:r>
        <w:rPr/>
        <w:instrText xml:space="preserve"> PAGEREF bm_anexoG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IUTECPTtulo2"/>
        <w:keepNext w:val="true"/>
        <w:keepLines/>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IUTECPTtulo2"/>
        <w:keepNext w:val="true"/>
        <w:keepLines/>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1" w:name="bm_cuadro2"/>
      <w:r>
        <w:rPr>
          <w:b/>
          <w:sz w:val="20"/>
        </w:rPr>
        <w:t xml:space="preserve">Cuadro 2. </w:t>
      </w:r>
      <w:r>
        <w:rPr>
          <w:i/>
          <w:sz w:val="20"/>
        </w:rPr>
        <w:t>Planificación integral de objetivos específicos.</w:t>
      </w:r>
      <w:bookmarkEnd w:id="31"/>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blHeader w:val="true"/>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actual de procura y recorrido de las requisiciones.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ciclo de compras, levantar el flujo existente y aplicar una entrevista estructurada al personal relacionado con la procura.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entrevista estructurada y revisión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guía de entrevista, cuaderno de notas y expedientes de compra.</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redundancias y causas que generan retrasos o pérdida de trazabilidad en las fases de recepción, cotización, aprobación y seguimiento de las adquisiciones.</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redundancias y causas de demora del proceso.</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Revisar expedientes históricos, comparar tiempos por fase, identificar cuellos de botella y elaborar el diagrama de Ishikawa.</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documental, análisis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Hojas de registro, expedientes históricos,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Propuesta de simplificación administrativa de la procura.</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simplificado, formatos de solicitud y orden de compra, matriz de autorización por monto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estandarización de formatos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Elaboración propia (2026).</w:t>
      </w:r>
    </w:p>
    <w:p>
      <w:pPr>
        <w:pStyle w:val="Normal"/>
        <w:rPr/>
      </w:pPr>
      <w:r>
        <w:rPr/>
      </w:r>
    </w:p>
    <w:p>
      <w:pPr>
        <w:pStyle w:val="IUTECPTtulo2"/>
        <w:keepNext w:val="true"/>
        <w:keepLines/>
        <w:spacing w:lineRule="auto" w:line="360" w:before="480" w:after="480"/>
        <w:jc w:val="start"/>
        <w:rPr/>
      </w:pPr>
      <w:bookmarkStart w:id="32" w:name="bm_cap2_crono"/>
      <w:r>
        <w:rPr>
          <w:b/>
          <w:sz w:val="24"/>
        </w:rPr>
        <w:t>Cronograma de actividades</w:t>
      </w:r>
      <w:bookmarkEnd w:id="32"/>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360" w:before="480" w:after="240"/>
        <w:jc w:val="start"/>
        <w:rPr/>
      </w:pPr>
      <w:bookmarkStart w:id="33" w:name="bm_cuadro3"/>
      <w:r>
        <w:rPr>
          <w:b/>
          <w:sz w:val="20"/>
        </w:rPr>
        <w:t xml:space="preserve">Cuadro 3. </w:t>
      </w:r>
      <w:r>
        <w:rPr>
          <w:i/>
          <w:sz w:val="20"/>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lineRule="auto" w:line="240" w:before="0" w:after="0"/>
        <w:ind w:hanging="0"/>
        <w:jc w:val="start"/>
        <w:r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Elaboración propia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4" w:name="bm_cap3"/>
      <w:r>
        <w:rPr>
          <w:b/>
          <w:sz w:val="24"/>
        </w:rPr>
        <w:t>MARCO TEÓRICO</w:t>
      </w:r>
      <w:bookmarkEnd w:id="34"/>
    </w:p>
    <w:p>
      <w:pPr>
        <w:pStyle w:val="IUTECPTtulo2"/>
        <w:keepNext w:val="true"/>
        <w:keepLines/>
        <w:spacing w:lineRule="auto" w:line="360" w:before="480" w:after="480"/>
        <w:jc w:val="start"/>
        <w:rPr/>
      </w:pPr>
      <w:bookmarkStart w:id="35" w:name="bm_cap3_bases"/>
      <w:r>
        <w:rPr>
          <w:b/>
          <w:sz w:val="24"/>
        </w:rPr>
        <w:t>Procura y Gestión de Compras</w:t>
      </w:r>
      <w:bookmarkEnd w:id="35"/>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tulo2"/>
        <w:keepNext w:val="true"/>
        <w:keepLines/>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tulo2"/>
        <w:keepNext w:val="true"/>
        <w:keepLines/>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6" w:name="bm_cap4"/>
      <w:r>
        <w:rPr>
          <w:b/>
          <w:sz w:val="24"/>
        </w:rPr>
        <w:t>ACTIVIDADES REALIZADAS</w:t>
      </w:r>
      <w:bookmarkEnd w:id="36"/>
    </w:p>
    <w:p>
      <w:pPr>
        <w:pStyle w:val="IUTECPTtulo2"/>
        <w:keepNext w:val="true"/>
        <w:keepLines/>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8" w:name="bm_cap5"/>
      <w:r>
        <w:rPr>
          <w:b/>
          <w:sz w:val="24"/>
        </w:rPr>
        <w:t>CONCLUSIONES Y RECOMENDACIONES</w:t>
      </w:r>
      <w:bookmarkEnd w:id="38"/>
    </w:p>
    <w:p>
      <w:pPr>
        <w:pStyle w:val="IUTECPTtulo2"/>
        <w:keepNext w:val="true"/>
        <w:keepLines/>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IUTECPTtulo2"/>
        <w:keepNext w:val="true"/>
        <w:keepLines/>
        <w:spacing w:lineRule="auto" w:line="360" w:before="480" w:after="480"/>
        <w:jc w:val="start"/>
        <w:rPr/>
      </w:pPr>
      <w:bookmarkStart w:id="40" w:name="bm_cap5_recom"/>
      <w:r>
        <w:rPr>
          <w:b/>
          <w:sz w:val="24"/>
        </w:rPr>
        <w:t>Recomendaciones</w:t>
      </w:r>
      <w:bookmarkEnd w:id="40"/>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before="0" w:after="0"/>
        <w:ind w:firstLine="709"/>
        <w:jc w:val="both"/>
        <w:r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4. Revisar periódicamente el procedimiento y los formatos con el personal del Departamento Administrativo, incorporando ajustes cuando cambien las necesidades operativas de la empresa.</w:t>
      </w:r>
    </w:p>
    <w:p>
      <w:pPr>
        <w:pStyle w:val="IUTECPPreliminar"/>
        <w:keepNext w:val="true"/>
        <w:keepLines/>
        <w:spacing w:before="1140" w:after="480"/>
        <w:jc w:val="center"/>
        <w:rPr/>
      </w:pPr>
      <w:bookmarkStart w:id="41" w:name="bm_referencias"/>
      <w:r>
        <w:rPr>
          <w:b/>
          <w:sz w:val="24"/>
        </w:rPr>
        <w:t>REFERENCIAS</w:t>
      </w:r>
      <w:bookmarkEnd w:id="41"/>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24"/>
        </w:rPr>
        <w:t>ANEXOS</w:t>
      </w:r>
      <w:bookmarkEnd w:id="42"/>
    </w:p>
    <w:p>
      <w:pPr>
        <w:pStyle w:val="Normal"/>
        <w:keepNext w:val="true"/>
        <w:keepLines/>
        <w:spacing w:before="0" w:after="480"/>
        <w:jc w:val="center"/>
        <w:rPr/>
      </w:pPr>
      <w:bookmarkStart w:id="43" w:name="bm_anexoA"/>
      <w:bookmarkEnd w:id="43"/>
      <w:r>
        <w:rPr>
          <w:b/>
          <w:sz w:val="20"/>
        </w:rPr>
        <w:t>ANEXO A</w:t>
      </w:r>
    </w:p>
    <w:p>
      <w:pPr>
        <w:pStyle w:val="Normal"/>
        <w:keepNext w:val="true"/>
        <w:keepLines/>
        <w:spacing w:before="240" w:after="480"/>
        <w:jc w:val="center"/>
        <w:rPr/>
      </w:pPr>
      <w:r>
        <w:rPr>
          <w:b/>
          <w:sz w:val="20"/>
        </w:rPr>
        <w:t>[Diagrama de Ishikawa de las causas asociadas a las demoras del proceso de procura]</w:t>
      </w:r>
    </w:p>
    <w:p>
      <w:pPr>
        <w:pStyle w:val="Normal"/>
        <w:keepNext w:val="true"/>
        <w:keepLines/>
        <w:jc w:val="center"/>
        <w:rPr/>
      </w:pPr>
      <w:r>
        <w:rPr/>
        <w:drawing>
          <wp:inline distT="0" distB="0" distL="0" distR="0">
            <wp:extent cx="4679950" cy="778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4679950" cy="778510"/>
                    </a:xfrm>
                    <a:prstGeom prst="rect">
                      <a:avLst/>
                    </a:prstGeom>
                    <a:noFill/>
                  </pic:spPr>
                </pic:pic>
              </a:graphicData>
            </a:graphic>
          </wp:inline>
        </w:drawing>
      </w:r>
    </w:p>
    <w:p>
      <w:pPr>
        <w:pStyle w:val="Normal"/>
        <w:spacing w:lineRule="auto" w:line="240" w:before="0" w:after="0"/>
        <w:ind w:hanging="0"/>
        <w:jc w:val="center"/>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4" w:name="bm_anexoB"/>
      <w:bookmarkEnd w:id="44"/>
      <w:r>
        <w:rPr>
          <w:b/>
          <w:sz w:val="20"/>
        </w:rPr>
        <w:t>ANEXO B</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5" w:name="bm_anexoC"/>
      <w:bookmarkEnd w:id="45"/>
      <w:r>
        <w:rPr>
          <w:b/>
          <w:sz w:val="20"/>
        </w:rPr>
        <w:t>ANEXO C</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6" w:name="bm_anexoD"/>
      <w:bookmarkEnd w:id="46"/>
      <w:r>
        <w:rPr>
          <w:b/>
          <w:sz w:val="20"/>
        </w:rPr>
        <w:t>ANEXO D</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7" w:name="bm_anexoE"/>
      <w:bookmarkEnd w:id="47"/>
      <w:r>
        <w:rPr>
          <w:b/>
          <w:sz w:val="20"/>
        </w:rPr>
        <w:t>ANEXO E</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8" w:name="bm_anexoF"/>
      <w:bookmarkEnd w:id="48"/>
      <w:r>
        <w:rPr>
          <w:b/>
          <w:sz w:val="20"/>
        </w:rPr>
        <w:t>ANEXO F</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0"/>
        <w:ind w:hanging="0"/>
        <w:jc w:val="center"/>
        <w:rPr/>
        <w:sectPr>
          <w:footerReference w:type="even" r:id="rId86"/>
          <w:footerReference w:type="default" r:id="rId87"/>
          <w:footerReference w:type="first" r:id="rId8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9" w:name="bm_anexoG"/>
      <w:bookmarkEnd w:id="49"/>
      <w:r>
        <w:rPr>
          <w:b/>
          <w:sz w:val="20"/>
        </w:rPr>
        <w:t>ANEXO G</w:t>
      </w:r>
    </w:p>
    <w:p>
      <w:pPr>
        <w:pStyle w:val="Normal"/>
        <w:keepNext w:val="true"/>
        <w:keepLines/>
        <w:spacing w:before="240" w:after="480"/>
        <w:jc w:val="center"/>
        <w:rPr/>
      </w:pPr>
      <w:r>
        <w:rPr>
          <w:b/>
          <w:sz w:val="20"/>
        </w:rPr>
        <w:t>[Diagrama de Ishikawa definitivo de las causas asociadas a las demoras y pérdida de trazabilidad del proceso de procura]</w:t>
      </w:r>
    </w:p>
    <w:p>
      <w:pPr>
        <w:pStyle w:val="Normal"/>
        <w:keepNext w:val="true"/>
        <w:keepLines/>
        <w:jc w:val="center"/>
        <w:rPr/>
      </w:pPr>
      <w:r>
        <w:rPr/>
        <w:drawing>
          <wp:inline distT="0" distB="0" distL="0" distR="0">
            <wp:extent cx="5039995" cy="15246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9"/>
                    <a:stretch>
                      <a:fillRect/>
                    </a:stretch>
                  </pic:blipFill>
                  <pic:spPr bwMode="auto">
                    <a:xfrm>
                      <a:off x="0" y="0"/>
                      <a:ext cx="5039995" cy="1524635"/>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Elaboración propia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9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9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92"/>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9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pic:cNvPicPr>
                            <a:picLocks noChangeAspect="1" noChangeArrowheads="1"/>
                          </pic:cNvPicPr>
                        </pic:nvPicPr>
                        <pic:blipFill>
                          <a:blip r:embed="rId9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9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9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9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9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9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10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
                    <pic:cNvPicPr>
                      <a:picLocks noChangeAspect="1" noChangeArrowheads="1"/>
                    </pic:cNvPicPr>
                  </pic:nvPicPr>
                  <pic:blipFill>
                    <a:blip r:embed="rId10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
                          <pic:cNvPicPr>
                            <a:picLocks noChangeAspect="1" noChangeArrowheads="1"/>
                          </pic:cNvPicPr>
                        </pic:nvPicPr>
                        <pic:blipFill>
                          <a:blip r:embed="rId10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5"/>
                          <pic:cNvPicPr>
                            <a:picLocks noChangeAspect="1" noChangeArrowheads="1"/>
                          </pic:cNvPicPr>
                        </pic:nvPicPr>
                        <pic:blipFill>
                          <a:blip r:embed="rId10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
                    <pic:cNvPicPr>
                      <a:picLocks noChangeAspect="1" noChangeArrowheads="1"/>
                    </pic:cNvPicPr>
                  </pic:nvPicPr>
                  <pic:blipFill>
                    <a:blip r:embed="rId10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7"/>
                          <pic:cNvPicPr>
                            <a:picLocks noChangeAspect="1" noChangeArrowheads="1"/>
                          </pic:cNvPicPr>
                        </pic:nvPicPr>
                        <pic:blipFill>
                          <a:blip r:embed="rId10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10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pic:cNvPicPr>
                      <a:picLocks noChangeAspect="1" noChangeArrowheads="1"/>
                    </pic:cNvPicPr>
                  </pic:nvPicPr>
                  <pic:blipFill>
                    <a:blip r:embed="rId10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
                          <pic:cNvPicPr>
                            <a:picLocks noChangeAspect="1" noChangeArrowheads="1"/>
                          </pic:cNvPicPr>
                        </pic:nvPicPr>
                        <pic:blipFill>
                          <a:blip r:embed="rId10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pic:cNvPicPr>
                            <a:picLocks noChangeAspect="1" noChangeArrowheads="1"/>
                          </pic:cNvPicPr>
                        </pic:nvPicPr>
                        <pic:blipFill>
                          <a:blip r:embed="rId10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2"/>
                    <pic:cNvPicPr>
                      <a:picLocks noChangeAspect="1" noChangeArrowheads="1"/>
                    </pic:cNvPicPr>
                  </pic:nvPicPr>
                  <pic:blipFill>
                    <a:blip r:embed="rId11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pic:cNvPicPr>
                            <a:picLocks noChangeAspect="1" noChangeArrowheads="1"/>
                          </pic:cNvPicPr>
                        </pic:nvPicPr>
                        <pic:blipFill>
                          <a:blip r:embed="rId11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4"/>
                          <pic:cNvPicPr>
                            <a:picLocks noChangeAspect="1" noChangeArrowheads="1"/>
                          </pic:cNvPicPr>
                        </pic:nvPicPr>
                        <pic:blipFill>
                          <a:blip r:embed="rId11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5"/>
                    <pic:cNvPicPr>
                      <a:picLocks noChangeAspect="1" noChangeArrowheads="1"/>
                    </pic:cNvPicPr>
                  </pic:nvPicPr>
                  <pic:blipFill>
                    <a:blip r:embed="rId11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
                          <pic:cNvPicPr>
                            <a:picLocks noChangeAspect="1" noChangeArrowheads="1"/>
                          </pic:cNvPicPr>
                        </pic:nvPicPr>
                        <pic:blipFill>
                          <a:blip r:embed="rId11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pic:cNvPicPr>
                            <a:picLocks noChangeAspect="1" noChangeArrowheads="1"/>
                          </pic:cNvPicPr>
                        </pic:nvPicPr>
                        <pic:blipFill>
                          <a:blip r:embed="rId11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pic:cNvPicPr>
                      <a:picLocks noChangeAspect="1" noChangeArrowheads="1"/>
                    </pic:cNvPicPr>
                  </pic:nvPicPr>
                  <pic:blipFill>
                    <a:blip r:embed="rId11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9"/>
                          <pic:cNvPicPr>
                            <a:picLocks noChangeAspect="1" noChangeArrowheads="1"/>
                          </pic:cNvPicPr>
                        </pic:nvPicPr>
                        <pic:blipFill>
                          <a:blip r:embed="rId11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0"/>
                          <pic:cNvPicPr>
                            <a:picLocks noChangeAspect="1" noChangeArrowheads="1"/>
                          </pic:cNvPicPr>
                        </pic:nvPicPr>
                        <pic:blipFill>
                          <a:blip r:embed="rId11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1"/>
                    <pic:cNvPicPr>
                      <a:picLocks noChangeAspect="1" noChangeArrowheads="1"/>
                    </pic:cNvPicPr>
                  </pic:nvPicPr>
                  <pic:blipFill>
                    <a:blip r:embed="rId119"/>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20"/>
      <w:footerReference w:type="default" r:id="rId121"/>
      <w:footerReference w:type="first" r:id="rId122"/>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20</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footer" Target="footer73.xml"/><Relationship Id="rId87" Type="http://schemas.openxmlformats.org/officeDocument/2006/relationships/footer" Target="footer74.xml"/><Relationship Id="rId88" Type="http://schemas.openxmlformats.org/officeDocument/2006/relationships/footer" Target="footer75.xml"/><Relationship Id="rId89" Type="http://schemas.openxmlformats.org/officeDocument/2006/relationships/image" Target="media/image13.png"/><Relationship Id="rId90" Type="http://schemas.openxmlformats.org/officeDocument/2006/relationships/image" Target="media/image14.png"/><Relationship Id="rId91" Type="http://schemas.openxmlformats.org/officeDocument/2006/relationships/image" Target="media/image2.png"/><Relationship Id="rId92" Type="http://schemas.openxmlformats.org/officeDocument/2006/relationships/image" Target="media/image15.jpeg"/><Relationship Id="rId93" Type="http://schemas.openxmlformats.org/officeDocument/2006/relationships/image" Target="media/image14.png"/><Relationship Id="rId94" Type="http://schemas.openxmlformats.org/officeDocument/2006/relationships/image" Target="media/image2.png"/><Relationship Id="rId95" Type="http://schemas.openxmlformats.org/officeDocument/2006/relationships/image" Target="media/image15.jpeg"/><Relationship Id="rId96" Type="http://schemas.openxmlformats.org/officeDocument/2006/relationships/image" Target="media/image14.png"/><Relationship Id="rId97" Type="http://schemas.openxmlformats.org/officeDocument/2006/relationships/image" Target="media/image2.png"/><Relationship Id="rId98" Type="http://schemas.openxmlformats.org/officeDocument/2006/relationships/image" Target="media/image15.jpeg"/><Relationship Id="rId99" Type="http://schemas.openxmlformats.org/officeDocument/2006/relationships/image" Target="media/image14.png"/><Relationship Id="rId100" Type="http://schemas.openxmlformats.org/officeDocument/2006/relationships/image" Target="media/image2.png"/><Relationship Id="rId101" Type="http://schemas.openxmlformats.org/officeDocument/2006/relationships/image" Target="media/image15.jpeg"/><Relationship Id="rId102" Type="http://schemas.openxmlformats.org/officeDocument/2006/relationships/image" Target="media/image14.png"/><Relationship Id="rId103" Type="http://schemas.openxmlformats.org/officeDocument/2006/relationships/image" Target="media/image2.png"/><Relationship Id="rId104" Type="http://schemas.openxmlformats.org/officeDocument/2006/relationships/image" Target="media/image15.jpeg"/><Relationship Id="rId105" Type="http://schemas.openxmlformats.org/officeDocument/2006/relationships/image" Target="media/image14.png"/><Relationship Id="rId106" Type="http://schemas.openxmlformats.org/officeDocument/2006/relationships/image" Target="media/image2.png"/><Relationship Id="rId107" Type="http://schemas.openxmlformats.org/officeDocument/2006/relationships/image" Target="media/image15.jpeg"/><Relationship Id="rId108" Type="http://schemas.openxmlformats.org/officeDocument/2006/relationships/image" Target="media/image14.png"/><Relationship Id="rId109" Type="http://schemas.openxmlformats.org/officeDocument/2006/relationships/image" Target="media/image2.png"/><Relationship Id="rId110" Type="http://schemas.openxmlformats.org/officeDocument/2006/relationships/image" Target="media/image15.jpeg"/><Relationship Id="rId111" Type="http://schemas.openxmlformats.org/officeDocument/2006/relationships/image" Target="media/image14.png"/><Relationship Id="rId112" Type="http://schemas.openxmlformats.org/officeDocument/2006/relationships/image" Target="media/image2.png"/><Relationship Id="rId113" Type="http://schemas.openxmlformats.org/officeDocument/2006/relationships/image" Target="media/image15.jpeg"/><Relationship Id="rId114" Type="http://schemas.openxmlformats.org/officeDocument/2006/relationships/image" Target="media/image14.png"/><Relationship Id="rId115" Type="http://schemas.openxmlformats.org/officeDocument/2006/relationships/image" Target="media/image2.png"/><Relationship Id="rId116" Type="http://schemas.openxmlformats.org/officeDocument/2006/relationships/image" Target="media/image15.jpeg"/><Relationship Id="rId117" Type="http://schemas.openxmlformats.org/officeDocument/2006/relationships/image" Target="media/image14.png"/><Relationship Id="rId118" Type="http://schemas.openxmlformats.org/officeDocument/2006/relationships/image" Target="media/image2.png"/><Relationship Id="rId119" Type="http://schemas.openxmlformats.org/officeDocument/2006/relationships/image" Target="media/image15.jpeg"/><Relationship Id="rId120" Type="http://schemas.openxmlformats.org/officeDocument/2006/relationships/footer" Target="footer76.xml"/><Relationship Id="rId121" Type="http://schemas.openxmlformats.org/officeDocument/2006/relationships/footer" Target="footer77.xml"/><Relationship Id="rId122" Type="http://schemas.openxmlformats.org/officeDocument/2006/relationships/footer" Target="footer78.xml"/><Relationship Id="rId123" Type="http://schemas.openxmlformats.org/officeDocument/2006/relationships/numbering" Target="numbering.xml"/><Relationship Id="rId124" Type="http://schemas.openxmlformats.org/officeDocument/2006/relationships/fontTable" Target="fontTable.xml"/><Relationship Id="rId125" Type="http://schemas.openxmlformats.org/officeDocument/2006/relationships/settings" Target="settings.xml"/><Relationship Id="rId126" Type="http://schemas.openxmlformats.org/officeDocument/2006/relationships/theme" Target="theme/theme1.xml"/><Relationship Id="rId1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2026-08-19T01:15:17Z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