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 (IUTECP)</w:t>
        <w:br/>
      </w:r>
      <w:r>
        <w:rPr>
          <w:rFonts w:ascii="Times New Roman" w:hAnsi="Times New Roman"/>
          <w:b/>
          <w:sz w:val="24"/>
        </w:rPr>
        <w:t>EL TIGRE, ESTADO ANZOÁTEGUI</w:t>
      </w:r>
    </w:p>
    <w:p>
      <w:pPr>
        <w:spacing w:line="276" w:lineRule="auto" w:before="3844"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line="276" w:lineRule="auto" w:before="2281" w:after="0"/>
        <w:jc w:val="right"/>
      </w:pPr>
      <w:r>
        <w:rPr>
          <w:rFonts w:ascii="Times New Roman" w:hAnsi="Times New Roman"/>
          <w:b/>
          <w:sz w:val="24"/>
        </w:rPr>
        <w:t>Autor: Alrifaai Alrifaaie Amaal</w:t>
        <w:br/>
      </w:r>
      <w:r>
        <w:rPr>
          <w:rFonts w:ascii="Times New Roman" w:hAnsi="Times New Roman"/>
          <w:b/>
          <w:sz w:val="24"/>
        </w:rPr>
        <w:t>C.I.: 31.985.792</w:t>
      </w:r>
    </w:p>
    <w:p>
      <w:pPr>
        <w:spacing w:line="276" w:lineRule="auto" w:before="2309"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 (IUTECP)</w:t>
        <w:br/>
      </w:r>
      <w:r>
        <w:rPr>
          <w:rFonts w:ascii="Times New Roman" w:hAnsi="Times New Roman"/>
          <w:b/>
          <w:sz w:val="24"/>
        </w:rPr>
        <w:t>EL TIGRE, ESTADO ANZOÁTEGUI</w:t>
      </w:r>
    </w:p>
    <w:p>
      <w:pPr>
        <w:spacing w:line="276" w:lineRule="auto" w:before="2973" w:after="0"/>
        <w:jc w:val="center"/>
      </w:pPr>
      <w:r>
        <w:rPr>
          <w:rFonts w:ascii="Times New Roman" w:hAnsi="Times New Roman"/>
          <w:b/>
          <w:sz w:val="24"/>
        </w:rPr>
        <w:t>EVALUACIÓN DEL CONTROL ADMINISTRATIVO APLICADO A LA GESTIÓN DE SOLICITUDES DE SERVICIOS DE TELECOMUNICACIONES EN LA EMPRESA INGENIERÍA DE TELECOMUNICACIONES, C.A.</w:t>
      </w:r>
    </w:p>
    <w:p>
      <w:pPr>
        <w:spacing w:line="276" w:lineRule="auto" w:before="2033" w:after="0"/>
        <w:jc w:val="right"/>
      </w:pPr>
      <w:r>
        <w:rPr>
          <w:rFonts w:ascii="Times New Roman" w:hAnsi="Times New Roman"/>
          <w:b/>
          <w:sz w:val="24"/>
        </w:rPr>
        <w:t>Autor: Alrifaai Alrifaaie Amaal</w:t>
        <w:br/>
      </w:r>
      <w:r>
        <w:rPr>
          <w:rFonts w:ascii="Times New Roman" w:hAnsi="Times New Roman"/>
          <w:b/>
          <w:sz w:val="24"/>
        </w:rPr>
        <w:t>C.I.: 31.985.792</w:t>
        <w:br/>
      </w:r>
      <w:r>
        <w:rPr>
          <w:rFonts w:ascii="Times New Roman" w:hAnsi="Times New Roman"/>
          <w:b/>
          <w:sz w:val="24"/>
        </w:rPr>
        <w:br/>
      </w:r>
      <w:r>
        <w:rPr>
          <w:rFonts w:ascii="Times New Roman" w:hAnsi="Times New Roman"/>
          <w:b/>
          <w:sz w:val="24"/>
        </w:rPr>
        <w:t>Tutor Industrial: [Nombre del Tutor Industrial]</w:t>
        <w:br/>
      </w:r>
      <w:r>
        <w:rPr>
          <w:rFonts w:ascii="Times New Roman" w:hAnsi="Times New Roman"/>
          <w:b/>
          <w:sz w:val="24"/>
        </w:rPr>
        <w:t>C.I.: [Cédula del Tutor Industrial]</w:t>
        <w:br/>
      </w:r>
      <w:r>
        <w:rPr>
          <w:rFonts w:ascii="Times New Roman" w:hAnsi="Times New Roman"/>
          <w:b/>
          <w:sz w:val="24"/>
        </w:rPr>
        <w:br/>
      </w:r>
      <w:r>
        <w:rPr>
          <w:rFonts w:ascii="Times New Roman" w:hAnsi="Times New Roman"/>
          <w:b/>
          <w:sz w:val="24"/>
        </w:rPr>
        <w:t>Tutor Académico: Lic. Carlos Mendoza</w:t>
        <w:br/>
      </w:r>
      <w:r>
        <w:rPr>
          <w:rFonts w:ascii="Times New Roman" w:hAnsi="Times New Roman"/>
          <w:b/>
          <w:sz w:val="24"/>
        </w:rPr>
        <w:t>C.I.: 4.273.815</w:t>
      </w:r>
    </w:p>
    <w:p>
      <w:pPr>
        <w:spacing w:line="276" w:lineRule="auto" w:before="777"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titlePg/>
          <w:docGrid w:linePitch="360"/>
        </w:sectPr>
      </w:pPr>
    </w:p>
    <w:p>
      <w:bookmarkStart w:id="bm_dedicatoria" w:name="bm_dedicatoria"/>
      <w:pPr>
        <w:spacing w:after="480"/>
        <w:jc w:val="center"/>
      </w:pPr>
      <w:r>
        <w:rPr>
          <w:rFonts w:ascii="Times New Roman" w:hAnsi="Times New Roman"/>
          <w:b/>
          <w:sz w:val="24"/>
        </w:rPr>
        <w:t>DEDICATORIA</w:t>
      </w:r>
      <w:bookmarkEnd w:id="bm_dedicatoria"/>
    </w:p>
    <w:p>
      <w:pPr>
        <w:sectPr>
          <w:footerReference w:type="default" r:id="rId14"/>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Aquí va la dedicatoria.</w:t>
      </w:r>
    </w:p>
    <w:p>
      <w:pPr>
        <w:sectPr>
          <w:footerReference w:type="default" r:id="rId15"/>
          <w:type w:val="continuous"/>
          <w:pgSz w:w="12240" w:h="15840"/>
          <w:pgMar w:top="1701" w:right="1701" w:bottom="1701" w:left="2268" w:header="720" w:footer="720" w:gutter="0"/>
          <w:cols w:space="720"/>
          <w:titlePg/>
          <w:docGrid w:linePitch="360"/>
        </w:sectPr>
      </w:pPr>
    </w:p>
    <w:p>
      <w:bookmarkStart w:id="bm_agradecimientos" w:name="bm_agradecimientos"/>
      <w:pPr>
        <w:spacing w:after="480"/>
        <w:jc w:val="center"/>
      </w:pPr>
      <w:r>
        <w:rPr>
          <w:rFonts w:ascii="Times New Roman" w:hAnsi="Times New Roman"/>
          <w:b/>
          <w:sz w:val="24"/>
        </w:rPr>
        <w:t>AGRADECIMIENTOS</w:t>
      </w:r>
      <w:bookmarkEnd w:id="bm_agradecimientos"/>
    </w:p>
    <w:p>
      <w:pPr>
        <w:sectPr>
          <w:footerReference w:type="default" r:id="rId16"/>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Aquí van los agradecimientos.</w:t>
      </w:r>
    </w:p>
    <w:p>
      <w:pPr>
        <w:sectPr>
          <w:footerReference w:type="default" r:id="rId17"/>
          <w:type w:val="continuous"/>
          <w:pgSz w:w="12240" w:h="15840"/>
          <w:pgMar w:top="1701" w:right="1701" w:bottom="1701" w:left="2268" w:header="720" w:footer="720" w:gutter="0"/>
          <w:cols w:space="720"/>
          <w:titlePg/>
          <w:docGrid w:linePitch="360"/>
        </w:sectPr>
      </w:pPr>
    </w:p>
    <w:p>
      <w:bookmarkStart w:id="bm_resumen" w:name="bm_resumen"/>
      <w:pPr>
        <w:spacing w:after="480"/>
        <w:jc w:val="center"/>
      </w:pPr>
      <w:r>
        <w:rPr>
          <w:rFonts w:ascii="Times New Roman" w:hAnsi="Times New Roman"/>
          <w:b/>
          <w:sz w:val="24"/>
        </w:rPr>
        <w:t>RESUMEN</w:t>
      </w:r>
      <w:bookmarkEnd w:id="bm_resumen"/>
    </w:p>
    <w:p>
      <w:pPr>
        <w:sectPr>
          <w:footerReference w:type="default" r:id="rId18"/>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evaluación del control administrativo aplicado a la gestión de solicitudes de servicios de telecomunicaciones en la empresa Ingeniería de Telecomunicaciones, C.A. (IDETEL). La investigación se enmarca en la modalidad de proyecto factible apoyado en un diagnóstico de campo. Durante el estudio se identificó la ausencia de procedimientos formalizados para el seguimiento de solicitudes de afiliación e incidencias, la falta de formatos estandarizados de registro y la inexistencia de indicadores de gestión que permitan evaluar el desempeño del proceso de atención al suscriptor. La propuesta contempla un nuevo flujo de trabajo estandarizado, formatos unificados de control y un conjunto de indicadores de gestión orientados a fortalecer el control administrativo y optimizar la calidad del servicio prestado.</w:t>
      </w:r>
    </w:p>
    <w:p/>
    <w:p>
      <w:pPr>
        <w:ind w:firstLine="709"/>
      </w:pPr>
      <w:r>
        <w:rPr>
          <w:b/>
        </w:rPr>
        <w:t xml:space="preserve">Palabras claves: </w:t>
      </w:r>
      <w:r>
        <w:t>control administrativo, solicitudes de servicios, telecomunicaciones, proyecto factible, pasantías.</w:t>
      </w:r>
    </w:p>
    <w:p>
      <w:pPr>
        <w:sectPr>
          <w:footerReference w:type="default" r:id="rId19"/>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ÍNDICE DE CONTENIDO</w:t>
      </w:r>
    </w:p>
    <w:p>
      <w:pPr>
        <w:sectPr>
          <w:footerReference w:type="default" r:id="rId20"/>
          <w:pgSz w:w="12240" w:h="15840"/>
          <w:pgMar w:top="2835"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fldChar w:fldCharType="begin"/>
        <w:instrText xml:space="preserve"> PAGEREF bm_dedicatoria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fldChar w:fldCharType="begin"/>
        <w:instrText xml:space="preserve"> PAGEREF bm_agradecimientos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V CONCLUSIONES Y RECOMENDACIONES</w:t>
        <w:tab/>
      </w:r>
      <w:r>
        <w:rPr>
          <w:rFonts w:ascii="Times New Roman" w:hAnsi="Times New Roman"/>
          <w:b/>
          <w:sz w:val="24"/>
        </w:rPr>
        <w:fldChar w:fldCharType="begin"/>
        <w:instrText xml:space="preserve"> PAGEREF bm_cap5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Conclusiones</w:t>
        <w:tab/>
      </w:r>
      <w:r>
        <w:rPr>
          <w:rFonts w:ascii="Times New Roman" w:hAnsi="Times New Roman"/>
          <w:b w:val="0"/>
          <w:sz w:val="24"/>
        </w:rPr>
        <w:fldChar w:fldCharType="begin"/>
        <w:instrText xml:space="preserve"> PAGEREF bm_cap5_concl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Recomendaciones</w:t>
        <w:tab/>
      </w:r>
      <w:r>
        <w:rPr>
          <w:rFonts w:ascii="Times New Roman" w:hAnsi="Times New Roman"/>
          <w:b w:val="0"/>
          <w:sz w:val="24"/>
        </w:rPr>
        <w:fldChar w:fldCharType="begin"/>
        <w:instrText xml:space="preserve"> PAGEREF bm_cap5_recom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21"/>
          <w:type w:val="continuous"/>
          <w:pgSz w:w="12240" w:h="15840"/>
          <w:pgMar w:top="1701" w:right="1701" w:bottom="1701" w:left="2268" w:header="720" w:footer="720" w:gutter="0"/>
          <w:cols w:space="720"/>
          <w:titlePg/>
          <w:docGrid w:linePitch="360"/>
        </w:sectPr>
      </w:pPr>
    </w:p>
    <w:p>
      <w:bookmarkStart w:id="bm_lista_cuadros" w:name="bm_lista_cuadros"/>
      <w:pPr>
        <w:spacing w:after="480"/>
        <w:jc w:val="center"/>
      </w:pPr>
      <w:r>
        <w:rPr>
          <w:rFonts w:ascii="Times New Roman" w:hAnsi="Times New Roman"/>
          <w:b/>
          <w:sz w:val="24"/>
        </w:rPr>
        <w:t>LISTA DE CUADROS</w:t>
      </w:r>
      <w:bookmarkEnd w:id="bm_lista_cuadros"/>
    </w:p>
    <w:p>
      <w:pPr>
        <w:sectPr>
          <w:footerReference w:type="default" r:id="rId22"/>
          <w:pgSz w:w="12240" w:h="15840"/>
          <w:pgMar w:top="2835"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3"/>
          <w:type w:val="continuous"/>
          <w:pgSz w:w="12240" w:h="15840"/>
          <w:pgMar w:top="1701" w:right="1701" w:bottom="1701" w:left="2268" w:header="720" w:footer="720" w:gutter="0"/>
          <w:cols w:space="720"/>
          <w:titlePg/>
          <w:docGrid w:linePitch="360"/>
        </w:sectPr>
      </w:pPr>
    </w:p>
    <w:p>
      <w:bookmarkStart w:id="bm_lista_graficos" w:name="bm_lista_graficos"/>
      <w:pPr>
        <w:spacing w:after="480"/>
        <w:jc w:val="center"/>
      </w:pPr>
      <w:r>
        <w:rPr>
          <w:rFonts w:ascii="Times New Roman" w:hAnsi="Times New Roman"/>
          <w:b/>
          <w:sz w:val="24"/>
        </w:rPr>
        <w:t>LISTA DE GRÁFICOS</w:t>
      </w:r>
      <w:bookmarkEnd w:id="bm_lista_graficos"/>
    </w:p>
    <w:p>
      <w:pPr>
        <w:sectPr>
          <w:footerReference w:type="default" r:id="rId24"/>
          <w:pgSz w:w="12240" w:h="15840"/>
          <w:pgMar w:top="2835"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Ingeniería de Telecomunicaciones, C.A.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Ingeniería de Telecomunicaciones, C.A.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del Departamento de Administración.</w:t>
        <w:tab/>
      </w:r>
      <w:r>
        <w:rPr>
          <w:rFonts w:ascii="Times New Roman" w:hAnsi="Times New Roman"/>
          <w:b w:val="0"/>
          <w:sz w:val="24"/>
        </w:rPr>
        <w:fldChar w:fldCharType="begin"/>
        <w:instrText xml:space="preserve"> PAGEREF bm_grafico3 \h </w:instrText>
        <w:fldChar w:fldCharType="separate"/>
        <w:t>?</w:t>
        <w:fldChar w:fldCharType="end"/>
      </w:r>
    </w:p>
    <w:p>
      <w:pPr>
        <w:sectPr>
          <w:footerReference w:type="default" r:id="rId25"/>
          <w:type w:val="continuous"/>
          <w:pgSz w:w="12240" w:h="15840"/>
          <w:pgMar w:top="1701" w:right="1701" w:bottom="1701" w:left="2268" w:header="720" w:footer="720" w:gutter="0"/>
          <w:cols w:space="720"/>
          <w:titlePg/>
          <w:docGrid w:linePitch="360"/>
        </w:sectPr>
      </w:pPr>
    </w:p>
    <w:p>
      <w:bookmarkStart w:id="bm_lista_anexos" w:name="bm_lista_anexos"/>
      <w:pPr>
        <w:spacing w:after="480"/>
        <w:jc w:val="center"/>
      </w:pPr>
      <w:r>
        <w:rPr>
          <w:rFonts w:ascii="Times New Roman" w:hAnsi="Times New Roman"/>
          <w:b/>
          <w:sz w:val="24"/>
        </w:rPr>
        <w:t>LISTA DE ANEXOS</w:t>
      </w:r>
      <w:bookmarkEnd w:id="bm_lista_anexos"/>
    </w:p>
    <w:p>
      <w:pPr>
        <w:sectPr>
          <w:footerReference w:type="default" r:id="rId26"/>
          <w:pgSz w:w="12240" w:h="15840"/>
          <w:pgMar w:top="2835"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Aquí va la descripción del Anexo A</w:t>
        <w:tab/>
      </w:r>
      <w:r>
        <w:rPr>
          <w:rFonts w:ascii="Times New Roman" w:hAnsi="Times New Roman"/>
          <w:b w:val="0"/>
          <w:sz w:val="24"/>
        </w:rPr>
        <w:fldChar w:fldCharType="begin"/>
        <w:instrText xml:space="preserve"> PAGEREF bm_anexoA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B</w:t>
        <w:tab/>
        <w:t>Aquí va la descripción del Anexo B</w:t>
        <w:tab/>
      </w:r>
      <w:r>
        <w:rPr>
          <w:rFonts w:ascii="Times New Roman" w:hAnsi="Times New Roman"/>
          <w:b w:val="0"/>
          <w:sz w:val="24"/>
        </w:rPr>
        <w:fldChar w:fldCharType="begin"/>
        <w:instrText xml:space="preserve"> PAGEREF bm_anexoB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C</w:t>
        <w:tab/>
        <w:t>Aquí va la descripción del Anexo C</w:t>
        <w:tab/>
      </w:r>
      <w:r>
        <w:rPr>
          <w:rFonts w:ascii="Times New Roman" w:hAnsi="Times New Roman"/>
          <w:b w:val="0"/>
          <w:sz w:val="24"/>
        </w:rPr>
        <w:fldChar w:fldCharType="begin"/>
        <w:instrText xml:space="preserve"> PAGEREF bm_anexoC \h </w:instrText>
        <w:fldChar w:fldCharType="separate"/>
        <w:t>?</w:t>
        <w:fldChar w:fldCharType="end"/>
      </w:r>
    </w:p>
    <w:p>
      <w:pPr>
        <w:sectPr>
          <w:footerReference w:type="default" r:id="rId27"/>
          <w:type w:val="continuous"/>
          <w:pgSz w:w="12240" w:h="15840"/>
          <w:pgMar w:top="1701" w:right="1701" w:bottom="1701" w:left="2268" w:header="720" w:footer="720" w:gutter="0"/>
          <w:cols w:space="720"/>
          <w:titlePg/>
          <w:docGrid w:linePitch="360"/>
        </w:sectPr>
      </w:pPr>
    </w:p>
    <w:p>
      <w:bookmarkStart w:id="bm_introduccion" w:name="bm_introduccion"/>
      <w:pPr>
        <w:spacing w:after="480"/>
        <w:jc w:val="center"/>
      </w:pPr>
      <w:r>
        <w:rPr>
          <w:rFonts w:ascii="Times New Roman" w:hAnsi="Times New Roman"/>
          <w:b/>
          <w:sz w:val="24"/>
        </w:rPr>
        <w:t>INTRODUCCIÓN</w:t>
      </w:r>
      <w:bookmarkEnd w:id="bm_introduccion"/>
    </w:p>
    <w:p>
      <w:pPr>
        <w:sectPr>
          <w:footerReference w:type="default" r:id="rId28"/>
          <w:pgSz w:w="12240" w:h="15840"/>
          <w:pgMar w:top="2835"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evaluar el control administrativo aplicado a la gestión de solicitudes de servicios de telecomunicaciones en la empresa Ingeniería de Telecomunicaciones, C.A. (IDETEL), con sede en la ciudad de El Tigre, estado Anzoátegui. El estudio parte del diagnóstico de las deficiencias presentes en el proceso de atención al suscriptor para proponer mejoras procedimentales que optimicen el control interno del departamento. El informe se organiza en cinco capítulos: el Capítulo I presenta la realidad organizacional de IDETEL;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29"/>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0"/>
          <w:pgSz w:w="12240" w:h="15840"/>
          <w:pgMar w:top="2835" w:right="1701" w:bottom="1701" w:left="2268" w:header="720" w:footer="720" w:gutter="0"/>
          <w:cols w:space="720"/>
          <w:titlePg/>
          <w:docGrid w:linePitch="360"/>
        </w:sectPr>
      </w:pPr>
    </w:p>
    <w:p>
      <w:bookmarkStart w:id="bm_cap1_ident" w:name="bm_cap1_ident"/>
      <w:pPr>
        <w:spacing w:before="480" w:after="480" w:line="360" w:lineRule="auto"/>
        <w:jc w:val="left"/>
      </w:pPr>
      <w:r>
        <w:rPr>
          <w:rFonts w:ascii="Times New Roman" w:hAnsi="Times New Roman"/>
          <w:b/>
          <w:sz w:val="24"/>
        </w:rPr>
        <w:t>IDENTIFICACIÓN DE LA EMPRESA</w:t>
      </w:r>
      <w:bookmarkEnd w:id="bm_cap1_ident"/>
    </w:p>
    <w:p>
      <w:pPr>
        <w:spacing w:line="360" w:lineRule="auto" w:after="0" w:before="0"/>
        <w:ind w:firstLine="709"/>
        <w:jc w:val="both"/>
      </w:pPr>
      <w:r>
        <w:rPr>
          <w:rFonts w:ascii="Times New Roman" w:hAnsi="Times New Roman"/>
          <w:i w:val="0"/>
          <w:sz w:val="24"/>
        </w:rPr>
        <w:t>La pasantía profesional se llevó a cabo en Ingeniería de Telecomunicaciones, C.A., empresa del sector tecnológico conocida comercialmente bajo las siglas IDETEL o INTELCA, registrada bajo el Registro de Información Fiscal (RIF) N° J-08011691-7. La organización actúa como operador autorizado por la Comisión Nacional de Telecomunicaciones (CONATEL) y se desempeña como Distribuidor Autorizado de la marca Motorola en la región oriental del país.</w:t>
      </w:r>
    </w:p>
    <w:p>
      <w:pPr>
        <w:spacing w:before="240" w:after="240" w:line="360" w:lineRule="auto"/>
        <w:ind w:firstLine="709"/>
        <w:jc w:val="left"/>
      </w:pPr>
      <w:r>
        <w:rPr>
          <w:rFonts w:ascii="Times New Roman" w:hAnsi="Times New Roman"/>
          <w:b/>
          <w:i/>
          <w:sz w:val="24"/>
        </w:rPr>
        <w:t>1.1.1 Razón social</w:t>
      </w:r>
    </w:p>
    <w:p>
      <w:pPr>
        <w:spacing w:line="360" w:lineRule="auto" w:after="0" w:before="0"/>
        <w:ind w:firstLine="0"/>
        <w:jc w:val="both"/>
      </w:pPr>
      <w:r>
        <w:rPr>
          <w:rFonts w:ascii="Times New Roman" w:hAnsi="Times New Roman"/>
          <w:i w:val="0"/>
          <w:sz w:val="24"/>
        </w:rPr>
        <w:t>Ingeniería de Telecomunicaciones, C.A. (IDETEL / INTELCA)</w:t>
      </w:r>
    </w:p>
    <w:p>
      <w:bookmarkStart w:id="bm_cap1_resena" w:name="bm_cap1_resena"/>
      <w:pPr>
        <w:spacing w:before="240" w:after="240" w:line="360" w:lineRule="auto"/>
        <w:ind w:firstLine="709"/>
        <w:jc w:val="left"/>
      </w:pPr>
      <w:r>
        <w:rPr>
          <w:rFonts w:ascii="Times New Roman" w:hAnsi="Times New Roman"/>
          <w:b/>
          <w:i/>
          <w:sz w:val="24"/>
        </w:rPr>
        <w:t>1.1.2 Reseña histórica</w:t>
      </w:r>
      <w:bookmarkEnd w:id="bm_cap1_resena"/>
    </w:p>
    <w:p>
      <w:pPr>
        <w:spacing w:line="360" w:lineRule="auto" w:after="0" w:before="0"/>
        <w:ind w:firstLine="709"/>
        <w:jc w:val="both"/>
      </w:pPr>
      <w:r>
        <w:rPr>
          <w:rFonts w:ascii="Times New Roman" w:hAnsi="Times New Roman"/>
          <w:i w:val="0"/>
          <w:sz w:val="24"/>
        </w:rPr>
        <w:t>Ingeniería de Telecomunicaciones, C.A. se consolidó en la ciudad de El Tigre, estado Anzoátegui, acumulando una trayectoria de más de cuatro (4) décadas en el mercado tecnológico de la región oriental de Venezuela. Un hito fundamental en su evolución histórica se remonta al año 1983, cuando la organización se convirtió en el primer Distribuidor Autorizado Motorola para sistemas de radio de dos vías en el oriente del país, alianza estratégica que se ha mantenido vigente e ininterrumpida a lo largo de las décadas.</w:t>
      </w:r>
    </w:p>
    <w:p>
      <w:pPr>
        <w:spacing w:line="360" w:lineRule="auto" w:after="0" w:before="0"/>
        <w:ind w:firstLine="709"/>
        <w:jc w:val="both"/>
      </w:pPr>
      <w:r>
        <w:rPr>
          <w:rFonts w:ascii="Times New Roman" w:hAnsi="Times New Roman"/>
          <w:i w:val="0"/>
          <w:sz w:val="24"/>
        </w:rPr>
        <w:t>A través de los años, impulsada por las demandas operativas de la Faja Petrolífera del Orinoco y las necesidades de conectividad comercial, la empresa expandió sus líneas tecnológicas progresivamente. Pasó de suministrar sistemas de radiocomunicación analógica convencional en bandas VHF/UHF y sistemas Trunking analógicos (800 MHz), a liderar el mercado regional con tecnologías de radiocomunicación digital de gama alta como los estándares TETRA (europeo) y P25 (americano), esenciales para operaciones industriales de misión crítica.</w:t>
      </w:r>
    </w:p>
    <w:p>
      <w:pPr>
        <w:spacing w:line="360" w:lineRule="auto" w:after="0" w:before="0"/>
        <w:ind w:firstLine="709"/>
        <w:jc w:val="both"/>
      </w:pPr>
      <w:r>
        <w:rPr>
          <w:rFonts w:ascii="Times New Roman" w:hAnsi="Times New Roman"/>
          <w:i w:val="0"/>
          <w:sz w:val="24"/>
        </w:rPr>
        <w:t>Con la maduración del sector tecnológico, IDETEL incorporó a su portafolio soluciones de ampliación de cobertura inalámbrica, enlaces de microondas en bandas licenciadas y no licenciadas, redes de telemetría y telecomunicaciones alámbricas, consolidando su modelo de negocios en torno a Proyectos IPC (Ingeniería, Procura y Construcción), respaldado por un laboratorio técnico especializado y personal altamente calificado.</w:t>
      </w:r>
    </w:p>
    <w:p>
      <w:bookmarkStart w:id="bm_cap1_mision" w:name="bm_cap1_mision"/>
      <w:pPr>
        <w:spacing w:before="240" w:after="240" w:line="360" w:lineRule="auto"/>
        <w:ind w:firstLine="709"/>
        <w:jc w:val="left"/>
      </w:pPr>
      <w:r>
        <w:rPr>
          <w:rFonts w:ascii="Times New Roman" w:hAnsi="Times New Roman"/>
          <w:b/>
          <w:i/>
          <w:sz w:val="24"/>
        </w:rPr>
        <w:t>1.1.3 Misión</w:t>
      </w:r>
      <w:bookmarkEnd w:id="bm_cap1_mision"/>
    </w:p>
    <w:p>
      <w:pPr>
        <w:spacing w:line="360" w:lineRule="auto" w:after="0" w:before="0"/>
        <w:ind w:firstLine="709"/>
        <w:jc w:val="both"/>
      </w:pPr>
      <w:r>
        <w:rPr>
          <w:rFonts w:ascii="Times New Roman" w:hAnsi="Times New Roman"/>
          <w:i/>
          <w:sz w:val="24"/>
        </w:rPr>
        <w:t>Brindar soluciones con altos estándares de confiabilidad en servicios de radiocomunicación y datos al segmento de mercado PyME, así como la entrega de servicios de calidad en el sector petrolero, asociados a los esfuerzos en ingeniería (integración multidisciplinaria), planificación y ejecución de proyectos de telecomunicaciones y automatización.</w:t>
      </w:r>
    </w:p>
    <w:p>
      <w:bookmarkStart w:id="bm_cap1_vision" w:name="bm_cap1_vision"/>
      <w:pPr>
        <w:spacing w:before="240" w:after="240" w:line="360" w:lineRule="auto"/>
        <w:ind w:firstLine="709"/>
        <w:jc w:val="left"/>
      </w:pPr>
      <w:r>
        <w:rPr>
          <w:rFonts w:ascii="Times New Roman" w:hAnsi="Times New Roman"/>
          <w:b/>
          <w:i/>
          <w:sz w:val="24"/>
        </w:rPr>
        <w:t>1.1.4 Visión</w:t>
      </w:r>
      <w:bookmarkEnd w:id="bm_cap1_vision"/>
    </w:p>
    <w:p>
      <w:pPr>
        <w:spacing w:line="360" w:lineRule="auto" w:after="0" w:before="0"/>
        <w:ind w:firstLine="709"/>
        <w:jc w:val="both"/>
      </w:pPr>
      <w:r>
        <w:rPr>
          <w:rFonts w:ascii="Times New Roman" w:hAnsi="Times New Roman"/>
          <w:i/>
          <w:sz w:val="24"/>
        </w:rPr>
        <w:t>Ser reconocidos por los clientes como un proveedor de servicios altamente confiable y con altos estándares técnicos y de ingeniería, con capacidad de brindar soluciones multidisciplinarias en el área de automatización y telecomunicaciones, fortaleciendo continuamente el capital humano mediante capacitación y mejora progresiva de las instalaciones, con el fin de obtener la innovación, competitividad y liderazgo necesarios para sobresalir en el mercado de nuevas tecnologías.</w:t>
      </w:r>
    </w:p>
    <w:p>
      <w:bookmarkStart w:id="bm_cap1_valores" w:name="bm_cap1_valores"/>
      <w:pPr>
        <w:spacing w:before="240" w:after="240" w:line="360" w:lineRule="auto"/>
        <w:ind w:firstLine="709"/>
        <w:jc w:val="left"/>
      </w:pPr>
      <w:r>
        <w:rPr>
          <w:rFonts w:ascii="Times New Roman" w:hAnsi="Times New Roman"/>
          <w:b/>
          <w:i/>
          <w:sz w:val="24"/>
        </w:rPr>
        <w:t>1.1.5 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Confiabilidad: </w:t>
      </w:r>
      <w:r>
        <w:rPr>
          <w:rFonts w:ascii="Times New Roman" w:hAnsi="Times New Roman"/>
          <w:sz w:val="24"/>
        </w:rPr>
        <w:t>Compromiso de entregar soluciones tecnológicas robustas que cumplan con los más altos estándares técnicos y de ingeniería para garantizar operaciones continuas y seguras.</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Innovación y Competitividad: </w:t>
      </w:r>
      <w:r>
        <w:rPr>
          <w:rFonts w:ascii="Times New Roman" w:hAnsi="Times New Roman"/>
          <w:sz w:val="24"/>
        </w:rPr>
        <w:t>Búsqueda constante de actualización y adopción de tecnologías de última generación para sobresalir y liderar el mercado de soluciones inalámbricas y ópticas.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Seguridad Laboral e Higiene Ocupacional: </w:t>
      </w:r>
      <w:r>
        <w:rPr>
          <w:rFonts w:ascii="Times New Roman" w:hAnsi="Times New Roman"/>
          <w:sz w:val="24"/>
        </w:rPr>
        <w:t>Aplicación rigurosa de normas de protección e integridad física del personal en cada obra, instalación en campo o infraestructura crítica atendida.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Excelencia Técnica: </w:t>
      </w:r>
      <w:r>
        <w:rPr>
          <w:rFonts w:ascii="Times New Roman" w:hAnsi="Times New Roman"/>
          <w:sz w:val="24"/>
        </w:rPr>
        <w:t>Orientación hacia la precisión en los procesos de diseño, empalme por fusión, certificación de redes y asesoría en laboratorio.</w:t>
      </w:r>
    </w:p>
    <w:p>
      <w:bookmarkStart w:id="bm_cap1_obj" w:name="bm_cap1_obj"/>
      <w:pPr>
        <w:spacing w:before="240" w:after="240" w:line="360" w:lineRule="auto"/>
        <w:ind w:firstLine="709"/>
        <w:jc w:val="left"/>
      </w:pPr>
      <w:r>
        <w:rPr>
          <w:rFonts w:ascii="Times New Roman" w:hAnsi="Times New Roman"/>
          <w:b/>
          <w:i/>
          <w:sz w:val="24"/>
        </w:rPr>
        <w:t>1.1.6 Objetivos Organizacionales</w:t>
      </w:r>
      <w:bookmarkEnd w:id="bm_cap1_obj"/>
    </w:p>
    <w:p>
      <w:pPr>
        <w:spacing w:line="360" w:lineRule="auto" w:after="0" w:before="0"/>
        <w:ind w:firstLine="709"/>
        <w:jc w:val="both"/>
      </w:pPr>
      <w:r>
        <w:rPr>
          <w:rFonts w:ascii="Times New Roman" w:hAnsi="Times New Roman"/>
          <w:i w:val="0"/>
          <w:sz w:val="24"/>
        </w:rPr>
        <w:t>Entre sus objetivos organizacionales se encuentran:</w:t>
      </w:r>
    </w:p>
    <w:p>
      <w:pPr>
        <w:spacing w:line="360" w:lineRule="auto"/>
        <w:ind w:firstLine="709"/>
        <w:jc w:val="both"/>
      </w:pPr>
      <w:r>
        <w:rPr>
          <w:rFonts w:ascii="Times New Roman" w:hAnsi="Times New Roman"/>
          <w:sz w:val="24"/>
        </w:rPr>
        <w:t xml:space="preserve">1. </w:t>
      </w:r>
      <w:r>
        <w:rPr>
          <w:rFonts w:ascii="Times New Roman" w:hAnsi="Times New Roman"/>
          <w:sz w:val="24"/>
        </w:rPr>
        <w:t>Ejecutar todo género de actividad o prestación de servicios relacionados directa o indirectamente con el ramo de las comunicaciones, computación y la electrónica en general.</w:t>
      </w:r>
    </w:p>
    <w:p>
      <w:pPr>
        <w:spacing w:line="360" w:lineRule="auto"/>
        <w:ind w:firstLine="709"/>
        <w:jc w:val="both"/>
      </w:pPr>
      <w:r>
        <w:rPr>
          <w:rFonts w:ascii="Times New Roman" w:hAnsi="Times New Roman"/>
          <w:sz w:val="24"/>
        </w:rPr>
        <w:t xml:space="preserve">2. </w:t>
      </w:r>
      <w:r>
        <w:rPr>
          <w:rFonts w:ascii="Times New Roman" w:hAnsi="Times New Roman"/>
          <w:sz w:val="24"/>
        </w:rPr>
        <w:t>Prestar servicios de importación, manufacturación, asesoría, ventas, instalaciones, arrendamientos, supervisión y mantenimiento en el área de telecomunicaciones.</w:t>
      </w:r>
    </w:p>
    <w:p>
      <w:pPr>
        <w:spacing w:line="360" w:lineRule="auto"/>
        <w:ind w:firstLine="709"/>
        <w:jc w:val="both"/>
      </w:pPr>
      <w:r>
        <w:rPr>
          <w:rFonts w:ascii="Times New Roman" w:hAnsi="Times New Roman"/>
          <w:sz w:val="24"/>
        </w:rPr>
        <w:t xml:space="preserve">3. </w:t>
      </w:r>
      <w:r>
        <w:rPr>
          <w:rFonts w:ascii="Times New Roman" w:hAnsi="Times New Roman"/>
          <w:sz w:val="24"/>
        </w:rPr>
        <w:t>Representar total o parcialmente cualquier producto comercial relacionado con sus operaciones mercantiles.</w:t>
      </w:r>
    </w:p>
    <w:p>
      <w:bookmarkStart w:id="bm_cap1_ubic" w:name="bm_cap1_ubic"/>
      <w:pPr>
        <w:spacing w:before="240" w:after="240" w:line="360" w:lineRule="auto"/>
        <w:ind w:firstLine="709"/>
        <w:jc w:val="left"/>
      </w:pPr>
      <w:r>
        <w:rPr>
          <w:rFonts w:ascii="Times New Roman" w:hAnsi="Times New Roman"/>
          <w:b/>
          <w:i/>
          <w:sz w:val="24"/>
        </w:rPr>
        <w:t>1.1.7 Ubicación geográfica</w:t>
      </w:r>
      <w:bookmarkEnd w:id="bm_cap1_ubic"/>
    </w:p>
    <w:p>
      <w:pPr>
        <w:spacing w:line="360" w:lineRule="auto" w:after="0" w:before="0"/>
        <w:ind w:firstLine="0"/>
        <w:jc w:val="both"/>
      </w:pPr>
      <w:r>
        <w:rPr>
          <w:rFonts w:ascii="Times New Roman" w:hAnsi="Times New Roman"/>
          <w:i w:val="0"/>
          <w:sz w:val="24"/>
        </w:rPr>
        <w:t>La sede administrativa y operativa de Ingeniería de Telecomunicaciones, C.A. se encuentra ubicada en la Calle Bolívar, Edificio La Suiza, Piso 1, Oficina Nro. 28, ciudad de El Tigre, Municipio Simón Rodríguez, estado Anzoátegui, Venezuela.</w:t>
      </w:r>
    </w:p>
    <w:p>
      <w:pPr>
        <w:spacing w:before="480"/>
        <w:jc w:val="center"/>
      </w:pPr>
      <w:r>
        <w:drawing>
          <wp:inline xmlns:a="http://schemas.openxmlformats.org/drawingml/2006/main" xmlns:pic="http://schemas.openxmlformats.org/drawingml/2006/picture">
            <wp:extent cx="1800000" cy="1125000"/>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1800000" cy="1125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Ingeniería de Telecomunicaciones, C.A.</w:t>
      </w:r>
      <w:bookmarkEnd w:id="bm_grafico1"/>
    </w:p>
    <w:p>
      <w:bookmarkStart w:id="bm_cap1_pobla" w:name="bm_cap1_pobla"/>
      <w:pPr>
        <w:spacing w:before="240" w:after="240" w:line="360" w:lineRule="auto"/>
        <w:ind w:firstLine="709"/>
        <w:jc w:val="left"/>
      </w:pPr>
      <w:r>
        <w:rPr>
          <w:rFonts w:ascii="Times New Roman" w:hAnsi="Times New Roman"/>
          <w:b/>
          <w:i/>
          <w:sz w:val="24"/>
        </w:rPr>
        <w:t>1.1.8 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Ingeniería de Telecomunicaciones, C.A. está conformada por personal multidisciplinario distribuido en las distintas áreas operativas y administrativas, con un total de ocho (8) trabajadores. La pasantía profesional se desarrolló en el Departamento de Administración, que dado el reducido tamaño del equipo tras un proceso de reestructuración de personal, opera con una estructura simplificada. Las funciones administrativas se concentran en dos (2) cargos activos: Supervisión de Administración, Contabilidad y Tributos, y Analista de Compras y Facturación, además del Analista de Atención al Cliente.</w:t>
      </w:r>
    </w:p>
    <w:p>
      <w:bookmarkStart w:id="bm_cap1_estruct" w:name="bm_cap1_estruct"/>
      <w:pPr>
        <w:spacing w:before="240" w:after="240" w:line="360" w:lineRule="auto"/>
        <w:ind w:firstLine="709"/>
        <w:jc w:val="left"/>
      </w:pPr>
      <w:r>
        <w:rPr>
          <w:rFonts w:ascii="Times New Roman" w:hAnsi="Times New Roman"/>
          <w:b/>
          <w:i/>
          <w:sz w:val="24"/>
        </w:rPr>
        <w:t>1.1.9 Estructura Organizativa</w:t>
      </w:r>
      <w:bookmarkEnd w:id="bm_cap1_estruct"/>
    </w:p>
    <w:p>
      <w:pPr>
        <w:spacing w:line="360" w:lineRule="auto" w:after="0" w:before="0"/>
        <w:ind w:firstLine="709"/>
        <w:jc w:val="both"/>
      </w:pPr>
      <w:r>
        <w:rPr>
          <w:rFonts w:ascii="Times New Roman" w:hAnsi="Times New Roman"/>
          <w:i w:val="0"/>
          <w:sz w:val="24"/>
        </w:rPr>
        <w:t>La estructura organizativa de Ingeniería de Telecomunicaciones, C.A. es de tipo vertical, diseñada para garantizar una comunicación fluida entre los niveles directivos y operativos. A la cabeza se encuentra la Presidencia, seguida de la Gerencia General y Operaciones, de la cual se desprenden los departamentos de Supervisión de Administración, Contabilidad y Tributos, Supervisión Comercial, Área de Internet, Supervisión del NOC (Network Operations Center) y Mantenimiento de Radiocomunicación. Se presenta a continuación el organigrama general de la empresa y del Departamento de Administración.</w:t>
      </w:r>
    </w:p>
    <w:p>
      <w:pPr>
        <w:spacing w:before="480"/>
        <w:jc w:val="center"/>
      </w:pPr>
      <w:r>
        <w:drawing>
          <wp:inline xmlns:a="http://schemas.openxmlformats.org/drawingml/2006/main" xmlns:pic="http://schemas.openxmlformats.org/drawingml/2006/picture">
            <wp:extent cx="4320000" cy="1473429"/>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4320000" cy="1473429"/>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Ingeniería de Telecomunicaciones, C.A.</w:t>
      </w:r>
      <w:bookmarkEnd w:id="bm_grafico2"/>
    </w:p>
    <w:p>
      <w:pPr>
        <w:spacing w:before="480"/>
        <w:jc w:val="center"/>
      </w:pPr>
      <w:r>
        <w:drawing>
          <wp:inline xmlns:a="http://schemas.openxmlformats.org/drawingml/2006/main" xmlns:pic="http://schemas.openxmlformats.org/drawingml/2006/picture">
            <wp:extent cx="4320000" cy="2680292"/>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4320000" cy="2680292"/>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del Departamento de Administración.</w:t>
      </w:r>
      <w:bookmarkEnd w:id="bm_grafico3"/>
    </w:p>
    <w:p>
      <w:pPr>
        <w:sectPr>
          <w:footerReference w:type="default" r:id="rId31"/>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2"/>
          <w:pgSz w:w="12240" w:h="15840"/>
          <w:pgMar w:top="2835"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contexto global actual, la gestión eficiente de los procesos administrativos constituye un factor determinante para la competitividad y sostenibilidad de las organizaciones del sector tecnológico. Las empresas proveedoras de servicios de telecomunicaciones enfrentan, de manera creciente, la necesidad de articular sus procedimientos internos con las exigencias de un mercado que demanda respuestas ágiles, trazabilidad en la atención al cliente y control riguroso sobre el ciclo de vida de cada solicitud de servicio.</w:t>
      </w:r>
    </w:p>
    <w:p>
      <w:pPr>
        <w:spacing w:line="360" w:lineRule="auto" w:after="0" w:before="0"/>
        <w:ind w:firstLine="709"/>
        <w:jc w:val="both"/>
      </w:pPr>
      <w:r>
        <w:rPr>
          <w:rFonts w:ascii="Times New Roman" w:hAnsi="Times New Roman"/>
          <w:i w:val="0"/>
          <w:sz w:val="24"/>
        </w:rPr>
        <w:t>A nivel nacional, el sector de telecomunicaciones en Venezuela ha experimentado una expansión sostenida, impulsada por la demanda de conectividad tanto en el segmento PyME como en el sector industrial y petrolero. Sin embargo, esta expansión ha puesto en evidencia debilidades estructurales en los sistemas de control administrativo de diversas organizaciones del ramo, particularmente en la gestión de solicitudes de servicio, donde la ausencia de procesos estandarizados genera retrasos, duplicidad de funciones y dificultades en la trazabilidad operativa.</w:t>
      </w:r>
    </w:p>
    <w:p>
      <w:pPr>
        <w:spacing w:line="360" w:lineRule="auto" w:after="0" w:before="0"/>
        <w:ind w:firstLine="709"/>
        <w:jc w:val="both"/>
      </w:pPr>
      <w:r>
        <w:rPr>
          <w:rFonts w:ascii="Times New Roman" w:hAnsi="Times New Roman"/>
          <w:i w:val="0"/>
          <w:sz w:val="24"/>
        </w:rPr>
        <w:t>En el caso específico de Ingeniería de Telecomunicaciones, C.A. (IDETEL), empresa con más de cuatro décadas de trayectoria en la región oriental del país, se identificó durante el período de pasantías que el Departamento de Administración presenta deficiencias en el control administrativo aplicado a la gestión de solicitudes de servicios. Concretamente, se observó que los procesos de afiliación de nuevos suscriptores e incidencias reportadas no cuentan con un sistema de seguimiento unificado que permita verificar en tiempo real el estado de cada solicitud, lo que genera inconsistencias entre los departamentos involucrados.</w:t>
      </w:r>
    </w:p>
    <w:p>
      <w:pPr>
        <w:spacing w:line="360" w:lineRule="auto" w:after="0" w:before="0"/>
        <w:ind w:firstLine="709"/>
        <w:jc w:val="both"/>
      </w:pPr>
      <w:r>
        <w:rPr>
          <w:rFonts w:ascii="Times New Roman" w:hAnsi="Times New Roman"/>
          <w:i w:val="0"/>
          <w:sz w:val="24"/>
        </w:rPr>
        <w:t>Las principales manifestaciones de la problemática identificada son las siguientes: (a) ausencia de registros estandarizados para el control de solicitudes de instalación y atención de incidencias, (b) comunicación fragmentada entre el área comercial, el NOC y las cuadrillas técnicas de campo, (c) retrasos en la actualización del sistema de tickets que dificultan el cierre oportuno de los casos, y (d) carencia de indicadores de gestión que permitan evaluar el desempeño del proceso de atención al suscriptor.</w:t>
      </w:r>
    </w:p>
    <w:p>
      <w:pPr>
        <w:spacing w:line="360" w:lineRule="auto" w:after="0" w:before="0"/>
        <w:ind w:firstLine="709"/>
        <w:jc w:val="both"/>
      </w:pPr>
      <w:r>
        <w:rPr>
          <w:rFonts w:ascii="Times New Roman" w:hAnsi="Times New Roman"/>
          <w:i w:val="0"/>
          <w:sz w:val="24"/>
        </w:rPr>
        <w:t>Las causas de esta situación se atribuyen principalmente a la falta de un protocolo administrativo formal que regule el flujo de las solicitudes desde su recepción hasta su cierre definitivo, así como a la dependencia de canales informales de comunicación entre las áreas involucradas. Como consecuencia, se generan reprocesos, insatisfacción en los clientes y sobrecarga operativa en los supervisores, comprometiendo la calidad del servicio prestado y la imagen institucional de la organización.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Evaluar el control administrativo aplicado a la gestión de solicitudes de servicios de telecomunicaciones en la empresa Ingeniería de Telecomunicaciones, C.A., con el propósito de identificar las debilidades del proceso y proponer mejoras que optimicen la atención al suscriptor desde el Departamento de Administración.</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Describir los procesos administrativos actuales aplicados a la gestión de solicitudes de afiliación de nuevos suscriptores e incidencias en Ingeniería de Telecomunicaciones, C.A.</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deficiencias presentes en el sistema de control administrativo utilizado para el seguimiento de solicitudes de servicios de telecomunicaciones.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el impacto de las debilidades detectadas en el control administrativo sobre la calidad del servicio prestado a los suscriptores de la empresa.</w:t>
      </w:r>
    </w:p>
    <w:p>
      <w:pPr>
        <w:spacing w:line="360" w:lineRule="auto"/>
        <w:ind w:firstLine="709"/>
        <w:jc w:val="both"/>
      </w:pPr>
      <w:r>
        <w:rPr>
          <w:rFonts w:ascii="Times New Roman" w:hAnsi="Times New Roman"/>
          <w:sz w:val="24"/>
        </w:rPr>
        <w:t xml:space="preserve">4. </w:t>
      </w:r>
      <w:r>
        <w:rPr>
          <w:rFonts w:ascii="Times New Roman" w:hAnsi="Times New Roman"/>
          <w:sz w:val="24"/>
        </w:rPr>
        <w:t>Proponer mejoras al proceso de control administrativo de solicitudes de servicios que contribuyan a la optimización operativa y a la satisfacción del cliente en Ingeniería de Telecomunicaciones, C.A.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evaluación del control administrativo:</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2551"/>
        <w:gridCol w:w="2551"/>
        <w:gridCol w:w="1701"/>
        <w:gridCol w:w="1984"/>
      </w:tblGrid>
      <w:tr>
        <w:tc>
          <w:tcPr>
            <w:tcW w:w="2551" w:type="dxa"/>
            <w:shd w:val="clear" w:color="auto" w:fill="4472C4"/>
          </w:tcPr>
          <w:p>
            <w:pPr>
              <w:spacing w:before="60" w:after="60" w:line="240" w:lineRule="auto"/>
              <w:jc w:val="center"/>
            </w:pPr>
            <w:r>
              <w:rPr>
                <w:rFonts w:ascii="Times New Roman" w:hAnsi="Times New Roman"/>
                <w:b/>
                <w:color w:val="FFFFFF"/>
                <w:sz w:val="20"/>
              </w:rPr>
              <w:t>Objetivo Específico</w:t>
            </w:r>
          </w:p>
        </w:tc>
        <w:tc>
          <w:tcPr>
            <w:tcW w:w="2551" w:type="dxa"/>
            <w:shd w:val="clear" w:color="auto" w:fill="4472C4"/>
          </w:tcPr>
          <w:p>
            <w:pPr>
              <w:spacing w:before="60" w:after="60" w:line="240" w:lineRule="auto"/>
              <w:jc w:val="center"/>
            </w:pPr>
            <w:r>
              <w:rPr>
                <w:rFonts w:ascii="Times New Roman" w:hAnsi="Times New Roman"/>
                <w:b/>
                <w:color w:val="FFFFFF"/>
                <w:sz w:val="20"/>
              </w:rPr>
              <w:t>Actividades</w:t>
            </w:r>
          </w:p>
        </w:tc>
        <w:tc>
          <w:tcPr>
            <w:tcW w:w="1701" w:type="dxa"/>
            <w:shd w:val="clear" w:color="auto" w:fill="4472C4"/>
          </w:tcPr>
          <w:p>
            <w:pPr>
              <w:spacing w:before="60" w:after="60" w:line="240" w:lineRule="auto"/>
              <w:jc w:val="center"/>
            </w:pPr>
            <w:r>
              <w:rPr>
                <w:rFonts w:ascii="Times New Roman" w:hAnsi="Times New Roman"/>
                <w:b/>
                <w:color w:val="FFFFFF"/>
                <w:sz w:val="20"/>
              </w:rPr>
              <w:t>Recursos</w:t>
            </w:r>
          </w:p>
        </w:tc>
        <w:tc>
          <w:tcPr>
            <w:tcW w:w="1984" w:type="dxa"/>
            <w:shd w:val="clear" w:color="auto" w:fill="4472C4"/>
          </w:tcPr>
          <w:p>
            <w:pPr>
              <w:spacing w:before="60" w:after="60" w:line="240" w:lineRule="auto"/>
              <w:jc w:val="center"/>
            </w:pPr>
            <w:r>
              <w:rPr>
                <w:rFonts w:ascii="Times New Roman" w:hAnsi="Times New Roman"/>
                <w:b/>
                <w:color w:val="FFFFFF"/>
                <w:sz w:val="20"/>
              </w:rPr>
              <w:t>Indicadores de Logro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Describir los procesos administrativos actuales de solicitudes de servicio.</w:t>
            </w:r>
          </w:p>
        </w:tc>
        <w:tc>
          <w:tcPr>
            <w:tcW w:w="2551" w:type="dxa"/>
            <w:shd w:val="clear" w:color="auto" w:fill="FFFFFF"/>
          </w:tcPr>
          <w:p>
            <w:pPr>
              <w:spacing w:before="60" w:after="60" w:line="240" w:lineRule="auto"/>
              <w:jc w:val="both"/>
            </w:pPr>
            <w:r>
              <w:rPr>
                <w:rFonts w:ascii="Times New Roman" w:hAnsi="Times New Roman"/>
                <w:b w:val="0"/>
                <w:color w:val="000000"/>
                <w:sz w:val="20"/>
              </w:rPr>
              <w:t>Observación directa y revisión documental de los procedimientos internos.</w:t>
            </w:r>
          </w:p>
        </w:tc>
        <w:tc>
          <w:tcPr>
            <w:tcW w:w="1701" w:type="dxa"/>
            <w:shd w:val="clear" w:color="auto" w:fill="FFFFFF"/>
          </w:tcPr>
          <w:p>
            <w:pPr>
              <w:spacing w:before="60" w:after="60" w:line="240" w:lineRule="auto"/>
              <w:jc w:val="both"/>
            </w:pPr>
            <w:r>
              <w:rPr>
                <w:rFonts w:ascii="Times New Roman" w:hAnsi="Times New Roman"/>
                <w:b w:val="0"/>
                <w:color w:val="000000"/>
                <w:sz w:val="20"/>
              </w:rPr>
              <w:t>Guía de observación, documentos de la empresa, PC.</w:t>
            </w:r>
          </w:p>
        </w:tc>
        <w:tc>
          <w:tcPr>
            <w:tcW w:w="1984" w:type="dxa"/>
            <w:shd w:val="clear" w:color="auto" w:fill="FFFFFF"/>
          </w:tcPr>
          <w:p>
            <w:pPr>
              <w:spacing w:before="60" w:after="60" w:line="240" w:lineRule="auto"/>
              <w:jc w:val="both"/>
            </w:pPr>
            <w:r>
              <w:rPr>
                <w:rFonts w:ascii="Times New Roman" w:hAnsi="Times New Roman"/>
                <w:b w:val="0"/>
                <w:color w:val="000000"/>
                <w:sz w:val="20"/>
              </w:rPr>
              <w:t>Mapeo del flujo actual de solicitudes.</w:t>
            </w:r>
          </w:p>
        </w:tc>
      </w:tr>
      <w:tr>
        <w:tc>
          <w:tcPr>
            <w:tcW w:w="2551" w:type="dxa"/>
            <w:shd w:val="clear" w:color="auto" w:fill="D9E1F2"/>
          </w:tcPr>
          <w:p>
            <w:pPr>
              <w:spacing w:before="60" w:after="60" w:line="240" w:lineRule="auto"/>
              <w:jc w:val="both"/>
            </w:pPr>
            <w:r>
              <w:rPr>
                <w:rFonts w:ascii="Times New Roman" w:hAnsi="Times New Roman"/>
                <w:b w:val="0"/>
                <w:color w:val="000000"/>
                <w:sz w:val="20"/>
              </w:rPr>
              <w:t>Identificar las deficiencias en el control administrativo de solicitudes.</w:t>
            </w:r>
          </w:p>
        </w:tc>
        <w:tc>
          <w:tcPr>
            <w:tcW w:w="2551" w:type="dxa"/>
            <w:shd w:val="clear" w:color="auto" w:fill="D9E1F2"/>
          </w:tcPr>
          <w:p>
            <w:pPr>
              <w:spacing w:before="60" w:after="60" w:line="240" w:lineRule="auto"/>
              <w:jc w:val="both"/>
            </w:pPr>
            <w:r>
              <w:rPr>
                <w:rFonts w:ascii="Times New Roman" w:hAnsi="Times New Roman"/>
                <w:b w:val="0"/>
                <w:color w:val="000000"/>
                <w:sz w:val="20"/>
              </w:rPr>
              <w:t>Entrevistas al personal administrativo y revisión de registros históricos.</w:t>
            </w:r>
          </w:p>
        </w:tc>
        <w:tc>
          <w:tcPr>
            <w:tcW w:w="1701" w:type="dxa"/>
            <w:shd w:val="clear" w:color="auto" w:fill="D9E1F2"/>
          </w:tcPr>
          <w:p>
            <w:pPr>
              <w:spacing w:before="60" w:after="60" w:line="240" w:lineRule="auto"/>
              <w:jc w:val="both"/>
            </w:pPr>
            <w:r>
              <w:rPr>
                <w:rFonts w:ascii="Times New Roman" w:hAnsi="Times New Roman"/>
                <w:b w:val="0"/>
                <w:color w:val="000000"/>
                <w:sz w:val="20"/>
              </w:rPr>
              <w:t>Guía de entrevista, históricos de tickets, PC.</w:t>
            </w:r>
          </w:p>
        </w:tc>
        <w:tc>
          <w:tcPr>
            <w:tcW w:w="1984" w:type="dxa"/>
            <w:shd w:val="clear" w:color="auto" w:fill="D9E1F2"/>
          </w:tcPr>
          <w:p>
            <w:pPr>
              <w:spacing w:before="60" w:after="60" w:line="240" w:lineRule="auto"/>
              <w:jc w:val="both"/>
            </w:pPr>
            <w:r>
              <w:rPr>
                <w:rFonts w:ascii="Times New Roman" w:hAnsi="Times New Roman"/>
                <w:b w:val="0"/>
                <w:color w:val="000000"/>
                <w:sz w:val="20"/>
              </w:rPr>
              <w:t>Matriz de deficiencias identificadas.</w:t>
            </w:r>
          </w:p>
        </w:tc>
      </w:tr>
      <w:tr>
        <w:tc>
          <w:tcPr>
            <w:tcW w:w="2551" w:type="dxa"/>
            <w:shd w:val="clear" w:color="auto" w:fill="FFFFFF"/>
          </w:tcPr>
          <w:p>
            <w:pPr>
              <w:spacing w:before="60" w:after="60" w:line="240" w:lineRule="auto"/>
              <w:jc w:val="both"/>
            </w:pPr>
            <w:r>
              <w:rPr>
                <w:rFonts w:ascii="Times New Roman" w:hAnsi="Times New Roman"/>
                <w:b w:val="0"/>
                <w:color w:val="000000"/>
                <w:sz w:val="20"/>
              </w:rPr>
              <w:t>Analizar el impacto de las debilidades en la calidad del servicio.</w:t>
            </w:r>
          </w:p>
        </w:tc>
        <w:tc>
          <w:tcPr>
            <w:tcW w:w="2551" w:type="dxa"/>
            <w:shd w:val="clear" w:color="auto" w:fill="FFFFFF"/>
          </w:tcPr>
          <w:p>
            <w:pPr>
              <w:spacing w:before="60" w:after="60" w:line="240" w:lineRule="auto"/>
              <w:jc w:val="both"/>
            </w:pPr>
            <w:r>
              <w:rPr>
                <w:rFonts w:ascii="Times New Roman" w:hAnsi="Times New Roman"/>
                <w:b w:val="0"/>
                <w:color w:val="000000"/>
                <w:sz w:val="20"/>
              </w:rPr>
              <w:t>Análisis de tiempos de respuesta y correlación con quejas de suscriptores.</w:t>
            </w:r>
          </w:p>
        </w:tc>
        <w:tc>
          <w:tcPr>
            <w:tcW w:w="1701" w:type="dxa"/>
            <w:shd w:val="clear" w:color="auto" w:fill="FFFFFF"/>
          </w:tcPr>
          <w:p>
            <w:pPr>
              <w:spacing w:before="60" w:after="60" w:line="240" w:lineRule="auto"/>
              <w:jc w:val="both"/>
            </w:pPr>
            <w:r>
              <w:rPr>
                <w:rFonts w:ascii="Times New Roman" w:hAnsi="Times New Roman"/>
                <w:b w:val="0"/>
                <w:color w:val="000000"/>
                <w:sz w:val="20"/>
              </w:rPr>
              <w:t>Base de datos de incidencias, hojas de cálculo.</w:t>
            </w:r>
          </w:p>
        </w:tc>
        <w:tc>
          <w:tcPr>
            <w:tcW w:w="1984" w:type="dxa"/>
            <w:shd w:val="clear" w:color="auto" w:fill="FFFFFF"/>
          </w:tcPr>
          <w:p>
            <w:pPr>
              <w:spacing w:before="60" w:after="60" w:line="240" w:lineRule="auto"/>
              <w:jc w:val="both"/>
            </w:pPr>
            <w:r>
              <w:rPr>
                <w:rFonts w:ascii="Times New Roman" w:hAnsi="Times New Roman"/>
                <w:b w:val="0"/>
                <w:color w:val="000000"/>
                <w:sz w:val="20"/>
              </w:rPr>
              <w:t>Informe analítico de impacto.</w:t>
            </w:r>
          </w:p>
        </w:tc>
      </w:tr>
      <w:tr>
        <w:tc>
          <w:tcPr>
            <w:tcW w:w="2551" w:type="dxa"/>
            <w:shd w:val="clear" w:color="auto" w:fill="D9E1F2"/>
          </w:tcPr>
          <w:p>
            <w:pPr>
              <w:spacing w:before="60" w:after="60" w:line="240" w:lineRule="auto"/>
              <w:jc w:val="both"/>
            </w:pPr>
            <w:r>
              <w:rPr>
                <w:rFonts w:ascii="Times New Roman" w:hAnsi="Times New Roman"/>
                <w:b w:val="0"/>
                <w:color w:val="000000"/>
                <w:sz w:val="20"/>
              </w:rPr>
              <w:t>Proponer mejoras al proceso de control administrativo.</w:t>
            </w:r>
          </w:p>
        </w:tc>
        <w:tc>
          <w:tcPr>
            <w:tcW w:w="2551" w:type="dxa"/>
            <w:shd w:val="clear" w:color="auto" w:fill="D9E1F2"/>
          </w:tcPr>
          <w:p>
            <w:pPr>
              <w:spacing w:before="60" w:after="60" w:line="240" w:lineRule="auto"/>
              <w:jc w:val="both"/>
            </w:pPr>
            <w:r>
              <w:rPr>
                <w:rFonts w:ascii="Times New Roman" w:hAnsi="Times New Roman"/>
                <w:b w:val="0"/>
                <w:color w:val="000000"/>
                <w:sz w:val="20"/>
              </w:rPr>
              <w:t>Diseño de procedimientos estandarizados y formatos de control.</w:t>
            </w:r>
          </w:p>
        </w:tc>
        <w:tc>
          <w:tcPr>
            <w:tcW w:w="1701" w:type="dxa"/>
            <w:shd w:val="clear" w:color="auto" w:fill="D9E1F2"/>
          </w:tcPr>
          <w:p>
            <w:pPr>
              <w:spacing w:before="60" w:after="60" w:line="240" w:lineRule="auto"/>
              <w:jc w:val="both"/>
            </w:pPr>
            <w:r>
              <w:rPr>
                <w:rFonts w:ascii="Times New Roman" w:hAnsi="Times New Roman"/>
                <w:b w:val="0"/>
                <w:color w:val="000000"/>
                <w:sz w:val="20"/>
              </w:rPr>
              <w:t>Procesador de texto, normativas internas.</w:t>
            </w:r>
          </w:p>
        </w:tc>
        <w:tc>
          <w:tcPr>
            <w:tcW w:w="1984" w:type="dxa"/>
            <w:shd w:val="clear" w:color="auto" w:fill="D9E1F2"/>
          </w:tcPr>
          <w:p>
            <w:pPr>
              <w:spacing w:before="60" w:after="60" w:line="240" w:lineRule="auto"/>
              <w:jc w:val="both"/>
            </w:pPr>
            <w:r>
              <w:rPr>
                <w:rFonts w:ascii="Times New Roman" w:hAnsi="Times New Roman"/>
                <w:b w:val="0"/>
                <w:color w:val="000000"/>
                <w:sz w:val="20"/>
              </w:rPr>
              <w:t>Propuesta de mejora procedimental formulada.</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propuesta de mejora,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Actividades Administrativas</w:t>
            </w:r>
          </w:p>
        </w:tc>
        <w:tc>
          <w:tcPr>
            <w:tcW w:w="523" w:type="dxa"/>
            <w:shd w:val="clear" w:color="auto" w:fill="4472C4"/>
          </w:tcPr>
          <w:p>
            <w:pPr>
              <w:spacing w:before="60" w:after="60" w:line="240" w:lineRule="auto"/>
              <w:jc w:val="center"/>
            </w:pPr>
            <w:r>
              <w:rPr>
                <w:rFonts w:ascii="Times New Roman" w:hAnsi="Times New Roman"/>
                <w:b/>
                <w:color w:val="FFFFFF"/>
                <w:sz w:val="18"/>
              </w:rPr>
              <w:t>S1</w:t>
            </w:r>
          </w:p>
        </w:tc>
        <w:tc>
          <w:tcPr>
            <w:tcW w:w="523" w:type="dxa"/>
            <w:shd w:val="clear" w:color="auto" w:fill="4472C4"/>
          </w:tcPr>
          <w:p>
            <w:pPr>
              <w:spacing w:before="60" w:after="60" w:line="240" w:lineRule="auto"/>
              <w:jc w:val="center"/>
            </w:pPr>
            <w:r>
              <w:rPr>
                <w:rFonts w:ascii="Times New Roman" w:hAnsi="Times New Roman"/>
                <w:b/>
                <w:color w:val="FFFFFF"/>
                <w:sz w:val="18"/>
              </w:rPr>
              <w:t>S2</w:t>
            </w:r>
          </w:p>
        </w:tc>
        <w:tc>
          <w:tcPr>
            <w:tcW w:w="523" w:type="dxa"/>
            <w:shd w:val="clear" w:color="auto" w:fill="4472C4"/>
          </w:tcPr>
          <w:p>
            <w:pPr>
              <w:spacing w:before="60" w:after="60" w:line="240" w:lineRule="auto"/>
              <w:jc w:val="center"/>
            </w:pPr>
            <w:r>
              <w:rPr>
                <w:rFonts w:ascii="Times New Roman" w:hAnsi="Times New Roman"/>
                <w:b/>
                <w:color w:val="FFFFFF"/>
                <w:sz w:val="18"/>
              </w:rPr>
              <w:t>S3</w:t>
            </w:r>
          </w:p>
        </w:tc>
        <w:tc>
          <w:tcPr>
            <w:tcW w:w="523" w:type="dxa"/>
            <w:shd w:val="clear" w:color="auto" w:fill="4472C4"/>
          </w:tcPr>
          <w:p>
            <w:pPr>
              <w:spacing w:before="60" w:after="60" w:line="240" w:lineRule="auto"/>
              <w:jc w:val="center"/>
            </w:pPr>
            <w:r>
              <w:rPr>
                <w:rFonts w:ascii="Times New Roman" w:hAnsi="Times New Roman"/>
                <w:b/>
                <w:color w:val="FFFFFF"/>
                <w:sz w:val="18"/>
              </w:rPr>
              <w:t>S4</w:t>
            </w:r>
          </w:p>
        </w:tc>
        <w:tc>
          <w:tcPr>
            <w:tcW w:w="523" w:type="dxa"/>
            <w:shd w:val="clear" w:color="auto" w:fill="4472C4"/>
          </w:tcPr>
          <w:p>
            <w:pPr>
              <w:spacing w:before="60" w:after="60" w:line="240" w:lineRule="auto"/>
              <w:jc w:val="center"/>
            </w:pPr>
            <w:r>
              <w:rPr>
                <w:rFonts w:ascii="Times New Roman" w:hAnsi="Times New Roman"/>
                <w:b/>
                <w:color w:val="FFFFFF"/>
                <w:sz w:val="18"/>
              </w:rPr>
              <w:t>S5</w:t>
            </w:r>
          </w:p>
        </w:tc>
        <w:tc>
          <w:tcPr>
            <w:tcW w:w="523" w:type="dxa"/>
            <w:shd w:val="clear" w:color="auto" w:fill="4472C4"/>
          </w:tcPr>
          <w:p>
            <w:pPr>
              <w:spacing w:before="60" w:after="60" w:line="240" w:lineRule="auto"/>
              <w:jc w:val="center"/>
            </w:pPr>
            <w:r>
              <w:rPr>
                <w:rFonts w:ascii="Times New Roman" w:hAnsi="Times New Roman"/>
                <w:b/>
                <w:color w:val="FFFFFF"/>
                <w:sz w:val="18"/>
              </w:rPr>
              <w:t>S6</w:t>
            </w:r>
          </w:p>
        </w:tc>
        <w:tc>
          <w:tcPr>
            <w:tcW w:w="523" w:type="dxa"/>
            <w:shd w:val="clear" w:color="auto" w:fill="4472C4"/>
          </w:tcPr>
          <w:p>
            <w:pPr>
              <w:spacing w:before="60" w:after="60" w:line="240" w:lineRule="auto"/>
              <w:jc w:val="center"/>
            </w:pPr>
            <w:r>
              <w:rPr>
                <w:rFonts w:ascii="Times New Roman" w:hAnsi="Times New Roman"/>
                <w:b/>
                <w:color w:val="FFFFFF"/>
                <w:sz w:val="18"/>
              </w:rPr>
              <w:t>S7</w:t>
            </w:r>
          </w:p>
        </w:tc>
        <w:tc>
          <w:tcPr>
            <w:tcW w:w="523" w:type="dxa"/>
            <w:shd w:val="clear" w:color="auto" w:fill="4472C4"/>
          </w:tcPr>
          <w:p>
            <w:pPr>
              <w:spacing w:before="60" w:after="60" w:line="240" w:lineRule="auto"/>
              <w:jc w:val="center"/>
            </w:pPr>
            <w:r>
              <w:rPr>
                <w:rFonts w:ascii="Times New Roman" w:hAnsi="Times New Roman"/>
                <w:b/>
                <w:color w:val="FFFFFF"/>
                <w:sz w:val="18"/>
              </w:rPr>
              <w:t>S8</w:t>
            </w:r>
          </w:p>
        </w:tc>
        <w:tc>
          <w:tcPr>
            <w:tcW w:w="523" w:type="dxa"/>
            <w:shd w:val="clear" w:color="auto" w:fill="4472C4"/>
          </w:tcPr>
          <w:p>
            <w:pPr>
              <w:spacing w:before="60" w:after="60" w:line="240" w:lineRule="auto"/>
              <w:jc w:val="center"/>
            </w:pPr>
            <w:r>
              <w:rPr>
                <w:rFonts w:ascii="Times New Roman" w:hAnsi="Times New Roman"/>
                <w:b/>
                <w:color w:val="FFFFFF"/>
                <w:sz w:val="18"/>
              </w:rPr>
              <w:t>S9</w:t>
            </w:r>
          </w:p>
        </w:tc>
        <w:tc>
          <w:tcPr>
            <w:tcW w:w="523" w:type="dxa"/>
            <w:shd w:val="clear" w:color="auto" w:fill="4472C4"/>
          </w:tcPr>
          <w:p>
            <w:pPr>
              <w:spacing w:before="60" w:after="60" w:line="240" w:lineRule="auto"/>
              <w:jc w:val="center"/>
            </w:pPr>
            <w:r>
              <w:rPr>
                <w:rFonts w:ascii="Times New Roman" w:hAnsi="Times New Roman"/>
                <w:b/>
                <w:color w:val="FFFFFF"/>
                <w:sz w:val="18"/>
              </w:rPr>
              <w:t>S10</w:t>
            </w:r>
          </w:p>
        </w:tc>
      </w:tr>
      <w:tr>
        <w:tc>
          <w:tcPr>
            <w:tcW w:w="3033" w:type="dxa"/>
            <w:shd w:val="clear" w:color="auto" w:fill="FFFFFF"/>
          </w:tcPr>
          <w:p>
            <w:pPr>
              <w:spacing w:before="60" w:after="60" w:line="240" w:lineRule="auto"/>
              <w:jc w:val="both"/>
            </w:pPr>
            <w:r>
              <w:rPr>
                <w:rFonts w:ascii="Times New Roman" w:hAnsi="Times New Roman"/>
                <w:b w:val="0"/>
                <w:color w:val="000000"/>
                <w:sz w:val="20"/>
              </w:rPr>
              <w:t>Inducción y reconocimiento del área de trabajo.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Levantamiento de información sobre procesos administrativos.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Observación y análisis del proceso de solicitudes de servicio.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Diseño y aplicación de instrumentos de recolección de datos.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Diagnóstico de la situación problemática.</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Revisión y elaboración del Marco Teórico.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Ejecución de actividades asignadas en el área administrativa.</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Registro semanal de actividades realizadas.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Redacción de conclusiones y recomendaciones.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D9E1F2"/>
          </w:tcPr>
          <w:p>
            <w:pPr>
              <w:spacing w:before="60" w:after="60" w:line="240" w:lineRule="auto"/>
              <w:jc w:val="both"/>
            </w:pPr>
            <w:r>
              <w:rPr>
                <w:rFonts w:ascii="Times New Roman" w:hAnsi="Times New Roman"/>
                <w:b w:val="0"/>
                <w:color w:val="000000"/>
                <w:sz w:val="20"/>
              </w:rPr>
              <w:t>Revisión final y presentación del informe.</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3"/>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34"/>
          <w:pgSz w:w="12240" w:h="15840"/>
          <w:pgMar w:top="2835" w:right="1701" w:bottom="1701" w:left="2268" w:header="720" w:footer="720" w:gutter="0"/>
          <w:cols w:space="720"/>
          <w:titlePg/>
          <w:docGrid w:linePitch="360"/>
        </w:sectPr>
      </w:pPr>
    </w:p>
    <w:p>
      <w:bookmarkStart w:id="bm_cap3_bases" w:name="bm_cap3_bases"/>
      <w:pPr>
        <w:spacing w:before="480" w:after="480" w:line="360" w:lineRule="auto"/>
        <w:jc w:val="left"/>
      </w:pPr>
      <w:r>
        <w:rPr>
          <w:rFonts w:ascii="Times New Roman" w:hAnsi="Times New Roman"/>
          <w:b/>
          <w:sz w:val="24"/>
        </w:rPr>
        <w:t>Control Administrativo</w:t>
      </w:r>
      <w:bookmarkEnd w:id="bm_cap3_bases"/>
    </w:p>
    <w:p>
      <w:pPr>
        <w:spacing w:line="360" w:lineRule="auto" w:after="0" w:before="0"/>
        <w:ind w:firstLine="709"/>
        <w:jc w:val="both"/>
      </w:pPr>
      <w:r>
        <w:rPr>
          <w:rFonts w:ascii="Times New Roman" w:hAnsi="Times New Roman"/>
          <w:i w:val="0"/>
          <w:sz w:val="24"/>
        </w:rPr>
        <w:t>El control administrativo constituye una de las funciones fundamentales del proceso administrativo y se define como el mecanismo mediante el cual la organización verifica que las actividades ejecutadas se correspondan con lo planificado, detectando desviaciones y aplicando las medidas correctivas necesarias. Robbins y Coulter (2010) señalan que el control eficaz no solo identifica fallas, sino que proporciona información oportuna para la toma de decisiones gerenciales, convirtiéndose en un instrumento de mejora continua y no únicamente de fiscalización.</w:t>
      </w:r>
    </w:p>
    <w:p>
      <w:pPr>
        <w:spacing w:line="360" w:lineRule="auto" w:after="0" w:before="0"/>
        <w:ind w:firstLine="709"/>
        <w:jc w:val="both"/>
      </w:pPr>
      <w:r>
        <w:rPr>
          <w:rFonts w:ascii="Times New Roman" w:hAnsi="Times New Roman"/>
          <w:i w:val="0"/>
          <w:sz w:val="24"/>
        </w:rPr>
        <w:t>En el contexto del Departamento de Administración de Ingeniería de Telecomunicaciones, C.A., el control administrativo se aplica sobre el ciclo de gestión de solicitudes de servicio, abarcando desde la recepción de la solicitud del suscriptor hasta el cierre definitivo del caso. La ausencia de mecanismos formales de control en este ciclo genera inconsistencias entre los departamentos involucrados y dificulta la evaluación del desempeño del proceso de atención.</w:t>
      </w:r>
    </w:p>
    <w:p>
      <w:pPr>
        <w:spacing w:line="240" w:lineRule="auto" w:before="720" w:after="240"/>
        <w:ind w:left="709" w:right="709"/>
        <w:jc w:val="both"/>
      </w:pPr>
      <w:r>
        <w:rPr>
          <w:rFonts w:ascii="Times New Roman" w:hAnsi="Times New Roman"/>
          <w:sz w:val="24"/>
        </w:rPr>
        <w:t>El control es el proceso de monitorear las actividades para asegurarse de que se lleven a cabo según lo planeado y para corregir cualquier desviación significativa. Los gerentes no pueden saber realmente si sus unidades están desempeñándose adecuadamente hasta que evalúan qué actividades se han llevado a cabo y comparan el desempeño real con el estándar deseado.</w:t>
      </w:r>
      <w:r>
        <w:rPr>
          <w:rFonts w:ascii="Times New Roman" w:hAnsi="Times New Roman"/>
          <w:sz w:val="24"/>
        </w:rPr>
        <w:t xml:space="preserve"> (Robbins y Coulter, 2010, p. 398)</w:t>
      </w:r>
    </w:p>
    <w:p>
      <w:pPr>
        <w:spacing w:line="360" w:lineRule="auto" w:after="0" w:before="0"/>
        <w:ind w:firstLine="709"/>
        <w:jc w:val="both"/>
      </w:pPr>
      <w:r>
        <w:rPr>
          <w:rFonts w:ascii="Times New Roman" w:hAnsi="Times New Roman"/>
          <w:i w:val="0"/>
          <w:sz w:val="24"/>
        </w:rPr>
        <w:t>El control administrativo, como lo señalan los autores referidos, no se limita a una función de fiscalización, sino que se constituye en un mecanismo de retroalimentación continua que permite a la organización detectar desviaciones a tiempo y ajustar sus procesos para garantizar la calidad del servicio prestado al suscriptor.</w:t>
      </w:r>
    </w:p>
    <w:p>
      <w:pPr>
        <w:spacing w:before="480" w:after="480" w:line="360" w:lineRule="auto"/>
        <w:jc w:val="left"/>
      </w:pPr>
      <w:r>
        <w:rPr>
          <w:rFonts w:ascii="Times New Roman" w:hAnsi="Times New Roman"/>
          <w:b/>
          <w:sz w:val="24"/>
        </w:rPr>
        <w:t>Gestión de Solicitudes de Servicio</w:t>
      </w:r>
    </w:p>
    <w:p>
      <w:pPr>
        <w:spacing w:line="360" w:lineRule="auto" w:after="0" w:before="0"/>
        <w:ind w:firstLine="709"/>
        <w:jc w:val="both"/>
      </w:pPr>
      <w:r>
        <w:rPr>
          <w:rFonts w:ascii="Times New Roman" w:hAnsi="Times New Roman"/>
          <w:i w:val="0"/>
          <w:sz w:val="24"/>
        </w:rPr>
        <w:t>La gestión de solicitudes de servicio comprende el conjunto de procedimientos administrativos orientados a recepcionar, registrar, procesar y dar seguimiento a los requerimientos presentados por los clientes o suscriptores de una organización. Zeithaml, Parasuraman y Berry (1993) establecen que la calidad del servicio percibida por el cliente está directamente vinculada a la capacidad de la organización para gestionar sus solicitudes de forma ágil, transparente y con comunicación fluida en cada etapa del proceso.</w:t>
      </w:r>
    </w:p>
    <w:p>
      <w:pPr>
        <w:spacing w:line="360" w:lineRule="auto" w:after="0" w:before="0"/>
        <w:ind w:firstLine="709"/>
        <w:jc w:val="both"/>
      </w:pPr>
      <w:r>
        <w:rPr>
          <w:rFonts w:ascii="Times New Roman" w:hAnsi="Times New Roman"/>
          <w:i w:val="0"/>
          <w:sz w:val="24"/>
        </w:rPr>
        <w:t>En empresas de telecomunicaciones como IDETEL, la gestión de solicitudes abarca dos categorías principales: las solicitudes de afiliación de nuevos suscriptores, que implican la coordinación entre las áreas comercial, técnica y administrativa; y las incidencias reportadas por suscriptores activos, que requieren diagnóstico, despacho de cuadrillas y cierre verificado del caso. La ausencia de un sistema unificado de seguimiento para ambas categorías genera retrasos y reprocesos que impactan directamente en la satisfacción del cliente.</w:t>
      </w:r>
    </w:p>
    <w:p>
      <w:pPr>
        <w:spacing w:before="480" w:after="480" w:line="360" w:lineRule="auto"/>
        <w:jc w:val="left"/>
      </w:pPr>
      <w:r>
        <w:rPr>
          <w:rFonts w:ascii="Times New Roman" w:hAnsi="Times New Roman"/>
          <w:b/>
          <w:sz w:val="24"/>
        </w:rPr>
        <w:t>Procesos Administrativos y Estandarización de Procedimientos</w:t>
      </w:r>
    </w:p>
    <w:p>
      <w:pPr>
        <w:spacing w:line="360" w:lineRule="auto" w:after="0" w:before="0"/>
        <w:ind w:firstLine="709"/>
        <w:jc w:val="both"/>
      </w:pPr>
      <w:r>
        <w:rPr>
          <w:rFonts w:ascii="Times New Roman" w:hAnsi="Times New Roman"/>
          <w:i w:val="0"/>
          <w:sz w:val="24"/>
        </w:rPr>
        <w:t>El proceso administrativo constituye el marco conceptual que rige el funcionamiento de las organizaciones modernas. Chiavenato (2006) lo describe como el conjunto secuencial e interrelacionado de funciones de planificación, organización, dirección y control, orientadas al logro eficiente de los objetivos organizacionales. La estandarización de los procedimientos dentro de este marco garantiza que las actividades se ejecuten de manera uniforme, reduciendo la variabilidad y los errores derivados de la discrecionalidad individual.</w:t>
      </w:r>
    </w:p>
    <w:p>
      <w:pPr>
        <w:spacing w:line="360" w:lineRule="auto" w:after="0" w:before="0"/>
        <w:ind w:firstLine="709"/>
        <w:jc w:val="both"/>
      </w:pPr>
      <w:r>
        <w:rPr>
          <w:rFonts w:ascii="Times New Roman" w:hAnsi="Times New Roman"/>
          <w:i w:val="0"/>
          <w:sz w:val="24"/>
        </w:rPr>
        <w:t>La formalización de los procedimientos mediante manuales, flujogramas y formatos estandarizados constituye una herramienta esencial para el control administrativo. Según Harrington (1993), un proceso estandarizado es medible, controlable y mejorable, condiciones que permiten a la organización identificar con precisión los puntos de falla y aplicar acciones correctivas focalizadas. En el caso de IDETEL, la ausencia de procedimientos escritos para la gestión de solicitudes es una de las causas raíz de las deficiencias identificadas.</w:t>
      </w:r>
    </w:p>
    <w:p>
      <w:pPr>
        <w:spacing w:before="480" w:after="480" w:line="360" w:lineRule="auto"/>
        <w:jc w:val="left"/>
      </w:pPr>
      <w:r>
        <w:rPr>
          <w:rFonts w:ascii="Times New Roman" w:hAnsi="Times New Roman"/>
          <w:b/>
          <w:sz w:val="24"/>
        </w:rPr>
        <w:t>Calidad del Servicio en Empresas de Telecomunicaciones</w:t>
      </w:r>
    </w:p>
    <w:p>
      <w:pPr>
        <w:spacing w:line="360" w:lineRule="auto" w:after="0" w:before="0"/>
        <w:ind w:firstLine="709"/>
        <w:jc w:val="both"/>
      </w:pPr>
      <w:r>
        <w:rPr>
          <w:rFonts w:ascii="Times New Roman" w:hAnsi="Times New Roman"/>
          <w:i w:val="0"/>
          <w:sz w:val="24"/>
        </w:rPr>
        <w:t>La calidad del servicio se define como el grado en que las características del servicio prestado satisfacen o superan las expectativas del cliente. Parasuraman, Zeithaml y Berry (1988) desarrollaron el modelo SERVQUAL, que identifica cinco dimensiones de la calidad del servicio: fiabilidad, capacidad de respuesta, seguridad, empatía y elementos tangibles. En el sector de telecomunicaciones, la fiabilidad y la capacidad de respuesta son las dimensiones con mayor peso en la percepción del cliente.</w:t>
      </w:r>
    </w:p>
    <w:p>
      <w:pPr>
        <w:spacing w:line="360" w:lineRule="auto" w:after="0" w:before="0"/>
        <w:ind w:firstLine="709"/>
        <w:jc w:val="both"/>
      </w:pPr>
      <w:r>
        <w:rPr>
          <w:rFonts w:ascii="Times New Roman" w:hAnsi="Times New Roman"/>
          <w:i w:val="0"/>
          <w:sz w:val="24"/>
        </w:rPr>
        <w:t>Las deficiencias en el control administrativo del proceso de solicitudes de servicio impactan directamente sobre la fiabilidad y la capacidad de respuesta de IDETEL. Cuando una solicitud no es gestionada dentro de los tiempos establecidos o su estatus no puede ser verificado en tiempo real, el cliente percibe una falla en la calidad del servicio que deteriora su confianza en la organización y puede derivar en la cancelación del contrato o en la difusión de experiencias negativas.</w:t>
      </w:r>
    </w:p>
    <w:p>
      <w:pPr>
        <w:spacing w:before="480" w:after="480" w:line="360" w:lineRule="auto"/>
        <w:jc w:val="left"/>
      </w:pPr>
      <w:r>
        <w:rPr>
          <w:rFonts w:ascii="Times New Roman" w:hAnsi="Times New Roman"/>
          <w:b/>
          <w:sz w:val="24"/>
        </w:rPr>
        <w:t>Sistemas de Información para el Control Administrativo</w:t>
      </w:r>
    </w:p>
    <w:p>
      <w:pPr>
        <w:spacing w:line="360" w:lineRule="auto" w:after="0" w:before="0"/>
        <w:ind w:firstLine="709"/>
        <w:jc w:val="both"/>
      </w:pPr>
      <w:r>
        <w:rPr>
          <w:rFonts w:ascii="Times New Roman" w:hAnsi="Times New Roman"/>
          <w:i w:val="0"/>
          <w:sz w:val="24"/>
        </w:rPr>
        <w:t>Un sistema de información constituye un conjunto organizado de recursos tecnológicos y procedimentales orientados a la captura, almacenamiento, procesamiento y distribución de datos con el propósito de apoyar la toma de decisiones. Laudon y Laudon (2016) distinguen los sistemas de procesamiento de transacciones como la categoría que registra y gestiona las operaciones rutinarias de la organización, siendo esta la tipología más pertinente para el control de solicitudes de servicio en una empresa de telecomunicaciones.</w:t>
      </w:r>
    </w:p>
    <w:p>
      <w:pPr>
        <w:spacing w:line="360" w:lineRule="auto" w:after="0" w:before="0"/>
        <w:ind w:firstLine="709"/>
        <w:jc w:val="both"/>
      </w:pPr>
      <w:r>
        <w:rPr>
          <w:rFonts w:ascii="Times New Roman" w:hAnsi="Times New Roman"/>
          <w:i w:val="0"/>
          <w:sz w:val="24"/>
        </w:rPr>
        <w:t>La implementación de un sistema de tickets o plataforma de seguimiento de solicitudes en IDETEL permitiría centralizar el registro de cada caso, asignar responsables, definir tiempos de atención y generar alertas ante incumplimientos. Esta herramienta transformaría el control administrativo de reactivo a proactivo, dotando a la supervisión de información en tiempo real para la toma de decisiones y la evaluación continua del desempeño del proceso.</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un diagnóstico de campo que evidencie la situación deficitaria y la comprobación de la viabilidad técnica y operativa de la solución planteada.</w:t>
      </w:r>
    </w:p>
    <w:p>
      <w:pPr>
        <w:spacing w:line="360" w:lineRule="auto" w:after="0" w:before="0"/>
        <w:ind w:firstLine="709"/>
        <w:jc w:val="both"/>
      </w:pPr>
      <w:r>
        <w:rPr>
          <w:rFonts w:ascii="Times New Roman" w:hAnsi="Times New Roman"/>
          <w:i w:val="0"/>
          <w:sz w:val="24"/>
        </w:rPr>
        <w:t>Arias (2012) señala que el proyecto factible avanza hasta proponer y en muchos casos desarrollar la solución, demostrando su aplicabilidad en el contexto real. El presente trabajo se enmarca en esta modalidad al partir de la evaluación del control administrativo de IDETEL para proponer mejoras procedimentales cuya implementación es viable dentro de la estructura organizativa y los recursos disponibles de la empresa.</w:t>
      </w:r>
    </w:p>
    <w:p>
      <w:pPr>
        <w:sectPr>
          <w:footerReference w:type="default" r:id="rId35"/>
          <w:type w:val="continuous"/>
          <w:pgSz w:w="12240" w:h="15840"/>
          <w:pgMar w:top="1701" w:right="1701" w:bottom="1701" w:left="2268" w:header="720" w:footer="720" w:gutter="0"/>
          <w:cols w:space="720"/>
          <w:titlePg/>
          <w:docGrid w:linePitch="360"/>
        </w:sectPr>
      </w:pPr>
    </w:p>
    <w:p>
      <w:bookmarkStart w:id="bm_referencias" w:name="bm_referencias"/>
      <w:pPr>
        <w:spacing w:after="480"/>
        <w:jc w:val="center"/>
      </w:pPr>
      <w:r>
        <w:rPr>
          <w:rFonts w:ascii="Times New Roman" w:hAnsi="Times New Roman"/>
          <w:b/>
          <w:sz w:val="24"/>
        </w:rPr>
        <w:t>REFERENCIAS</w:t>
      </w:r>
      <w:bookmarkEnd w:id="bm_referencias"/>
    </w:p>
    <w:p>
      <w:pPr>
        <w:sectPr>
          <w:footerReference w:type="default" r:id="rId36"/>
          <w:pgSz w:w="12240" w:h="15840"/>
          <w:pgMar w:top="2835"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Parasuraman, A., Zeithaml, V., y Berry, L. (1988). SERVQUAL: A multiple-item scale for measuring consumer perceptions of service quality. Journal of Retailing, 64(1), 12-40.</w:t>
      </w:r>
    </w:p>
    <w:p>
      <w:pPr>
        <w:spacing w:line="240" w:lineRule="auto" w:after="480" w:before="0"/>
        <w:ind w:left="425" w:hanging="425"/>
        <w:jc w:val="both"/>
      </w:pPr>
      <w:r>
        <w:rPr>
          <w:rFonts w:ascii="Times New Roman" w:hAnsi="Times New Roman"/>
          <w:sz w:val="24"/>
        </w:rPr>
        <w:t>Robbins, S., y Coulter, M. (2010). Administración (10ma ed.). Pearson Educación,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pacing w:line="240" w:lineRule="auto" w:after="480" w:before="0"/>
        <w:ind w:left="425" w:hanging="425"/>
        <w:jc w:val="both"/>
      </w:pPr>
      <w:r>
        <w:rPr>
          <w:rFonts w:ascii="Times New Roman" w:hAnsi="Times New Roman"/>
          <w:sz w:val="24"/>
        </w:rPr>
        <w:t>Zeithaml, V., Parasuraman, A., y Berry, L. (1993). Calidad total en la gestión de servicios. Díaz de Santos, España.</w:t>
      </w:r>
    </w:p>
    <w:p>
      <w:pPr>
        <w:sectPr>
          <w:footerReference w:type="default" r:id="rId37"/>
          <w:type w:val="continuous"/>
          <w:pgSz w:w="12240" w:h="15840"/>
          <w:pgMar w:top="1701" w:right="1701" w:bottom="1701" w:left="2268" w:header="720" w:footer="720" w:gutter="0"/>
          <w:cols w:space="720"/>
          <w:titlePg/>
          <w:docGrid w:linePitch="360"/>
        </w:sectPr>
      </w:pPr>
    </w:p>
    <w:p>
      <w:bookmarkStart w:id="bm_anexos" w:name="bm_anexos"/>
      <w:pPr>
        <w:spacing w:before="3600"/>
        <w:jc w:val="center"/>
      </w:pPr>
      <w:r>
        <w:rPr>
          <w:rFonts w:ascii="Times New Roman" w:hAnsi="Times New Roman"/>
          <w:b/>
          <w:sz w:val="32"/>
        </w:rPr>
        <w:t>ANEXOS</w:t>
      </w:r>
      <w:bookmarkEnd w:id="bm_anexos"/>
    </w:p>
    <w:p>
      <w:pPr>
        <w:sectPr>
          <w:footerReference w:type="default" r:id="rId38"/>
          <w:pgSz w:w="12240" w:h="15840"/>
          <w:pgMar w:top="2835"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[Aquí va la descripción del Anexo A]</w:t>
      </w:r>
    </w:p>
    <w:p>
      <w:pPr>
        <w:jc w:val="center"/>
      </w:pPr>
      <w:r>
        <w:rPr>
          <w:rFonts w:ascii="Times New Roman" w:hAnsi="Times New Roman"/>
          <w:i/>
          <w:sz w:val="20"/>
        </w:rPr>
        <w:t>(Contenido elaborado por el estudiante)</w:t>
      </w:r>
    </w:p>
    <w:p>
      <w:pPr>
        <w:sectPr>
          <w:footerReference w:type="default" r:id="rId39"/>
          <w:pgSz w:w="12240" w:h="15840"/>
          <w:pgMar w:top="2835" w:right="1701" w:bottom="1701" w:left="2268" w:header="720" w:footer="720" w:gutter="0"/>
          <w:cols w:space="720"/>
          <w:titlePg/>
          <w:docGrid w:linePitch="360"/>
        </w:sectPr>
      </w:pPr>
    </w:p>
    <w:p>
      <w:bookmarkStart w:id="bm_anexoB" w:name="bm_anexoB"/>
      <w:pPr>
        <w:spacing w:before="0" w:after="480"/>
        <w:jc w:val="center"/>
      </w:pPr>
      <w:bookmarkEnd w:id="bm_anexoB"/>
      <w:r>
        <w:rPr>
          <w:rFonts w:ascii="Times New Roman" w:hAnsi="Times New Roman"/>
          <w:b/>
          <w:sz w:val="24"/>
        </w:rPr>
        <w:t>ANEXO B</w:t>
      </w:r>
    </w:p>
    <w:p>
      <w:pPr>
        <w:spacing w:before="240" w:after="480"/>
        <w:jc w:val="center"/>
      </w:pPr>
      <w:r>
        <w:rPr>
          <w:rFonts w:ascii="Times New Roman" w:hAnsi="Times New Roman"/>
          <w:b/>
          <w:sz w:val="24"/>
        </w:rPr>
        <w:t>[Aquí va la descripción del Anexo B]</w:t>
      </w:r>
    </w:p>
    <w:p>
      <w:pPr>
        <w:jc w:val="center"/>
      </w:pPr>
      <w:r>
        <w:rPr>
          <w:rFonts w:ascii="Times New Roman" w:hAnsi="Times New Roman"/>
          <w:i/>
          <w:sz w:val="20"/>
        </w:rPr>
        <w:t>(Contenido elaborado por el estudiante)</w:t>
      </w:r>
    </w:p>
    <w:p>
      <w:pPr>
        <w:sectPr>
          <w:footerReference w:type="default" r:id="rId40"/>
          <w:pgSz w:w="12240" w:h="15840"/>
          <w:pgMar w:top="2835" w:right="1701" w:bottom="1701" w:left="2268" w:header="720" w:footer="720" w:gutter="0"/>
          <w:cols w:space="720"/>
          <w:titlePg/>
          <w:docGrid w:linePitch="360"/>
        </w:sectPr>
      </w:pPr>
    </w:p>
    <w:p>
      <w:bookmarkStart w:id="bm_anexoC" w:name="bm_anexoC"/>
      <w:pPr>
        <w:spacing w:before="0" w:after="480"/>
        <w:jc w:val="center"/>
      </w:pPr>
      <w:bookmarkEnd w:id="bm_anexoC"/>
      <w:r>
        <w:rPr>
          <w:rFonts w:ascii="Times New Roman" w:hAnsi="Times New Roman"/>
          <w:b/>
          <w:sz w:val="24"/>
        </w:rPr>
        <w:t>ANEXO C</w:t>
      </w:r>
    </w:p>
    <w:p>
      <w:pPr>
        <w:spacing w:before="240" w:after="480"/>
        <w:jc w:val="center"/>
      </w:pPr>
      <w:r>
        <w:rPr>
          <w:rFonts w:ascii="Times New Roman" w:hAnsi="Times New Roman"/>
          <w:b/>
          <w:sz w:val="24"/>
        </w:rPr>
        <w:t>[Aquí va la descripción del Anexo C]</w:t>
      </w:r>
    </w:p>
    <w:p>
      <w:pPr>
        <w:jc w:val="center"/>
      </w:pPr>
      <w:r>
        <w:rPr>
          <w:rFonts w:ascii="Times New Roman" w:hAnsi="Times New Roman"/>
          <w:i/>
          <w:sz w:val="20"/>
        </w:rPr>
        <w:t>(Contenido elaborado por el estudiante)</w:t>
      </w:r>
    </w:p>
    <w:sectPr w:rsidR="00FC693F" w:rsidRPr="0006063C" w:rsidSect="00034616">
      <w:footerReference w:type="default" r:id="rId41"/>
      <w:pgSz w:w="12240" w:h="15840"/>
      <w:pgMar w:top="2835"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footer" Target="footer27.xml"/><Relationship Id="rId39" Type="http://schemas.openxmlformats.org/officeDocument/2006/relationships/footer" Target="footer28.xml"/><Relationship Id="rId40" Type="http://schemas.openxmlformats.org/officeDocument/2006/relationships/footer" Target="footer29.xml"/><Relationship Id="rId41"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