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47" w:after="1242"/>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EVALUACIÓN DEL CONTROL ADMINISTRATIVO APLICADO A LA GESTIÓN DE SOLICITUDES DE SERVICIOS DE TELECOMUNICACIONES EN LA EMPRESA INGENIERÍA DE TELECOMUNICACIONES, C.A.</w:t>
      </w:r>
    </w:p>
    <w:p>
      <w:pPr>
        <w:spacing w:line="276" w:lineRule="auto" w:before="3158" w:after="0"/>
        <w:jc w:val="right"/>
      </w:pPr>
      <w:r>
        <w:rPr>
          <w:rFonts w:ascii="Times New Roman" w:hAnsi="Times New Roman"/>
          <w:b/>
          <w:sz w:val="24"/>
        </w:rPr>
        <w:t>Autor:</w:t>
        <w:br/>
      </w:r>
      <w:r>
        <w:rPr>
          <w:rFonts w:ascii="Times New Roman" w:hAnsi="Times New Roman"/>
          <w:b/>
          <w:sz w:val="24"/>
        </w:rPr>
        <w:t>Alrifaai Alrifaaie Amaal</w:t>
        <w:br/>
      </w:r>
      <w:r>
        <w:rPr>
          <w:rFonts w:ascii="Times New Roman" w:hAnsi="Times New Roman"/>
          <w:b/>
          <w:sz w:val="24"/>
        </w:rPr>
        <w:t>C.I.: 31.985.792</w:t>
      </w:r>
    </w:p>
    <w:p>
      <w:pPr>
        <w:spacing w:line="276" w:lineRule="auto" w:before="1579" w:after="0"/>
        <w:jc w:val="center"/>
      </w:pPr>
      <w:r>
        <w:rPr>
          <w:rFonts w:ascii="Times New Roman" w:hAnsi="Times New Roman"/>
          <w:sz w:val="24"/>
        </w:rPr>
        <w:t>El Tigre, julio de 2026</w:t>
      </w:r>
    </w:p>
    <w:p>
      <w:pPr>
        <w:sectPr>
          <w:footerReference w:type="default" r:id="rId14"/>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053" w:after="0"/>
        <w:jc w:val="center"/>
      </w:pPr>
      <w:r>
        <w:rPr>
          <w:rFonts w:ascii="Times New Roman" w:hAnsi="Times New Roman"/>
          <w:b/>
          <w:sz w:val="24"/>
        </w:rPr>
        <w:t>EVALUACIÓN DEL CONTROL ADMINISTRATIVO APLICADO A LA GESTIÓN DE SOLICITUDES DE SERVICIOS DE TELECOMUNICACIONES EN LA EMPRESA INGENIERÍA DE TELECOMUNICACIONES, C.A.</w:t>
      </w:r>
    </w:p>
    <w:p>
      <w:pPr>
        <w:spacing w:before="2544"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Lenny Mata</w:t>
              <w:br/>
            </w:r>
            <w:r>
              <w:rPr>
                <w:rFonts w:ascii="Times New Roman" w:hAnsi="Times New Roman"/>
                <w:b/>
                <w:sz w:val="24"/>
              </w:rPr>
              <w:t>C.I.: 8969750</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Lic. Carlos Mendoza</w:t>
              <w:br/>
            </w:r>
            <w:r>
              <w:rPr>
                <w:rFonts w:ascii="Times New Roman" w:hAnsi="Times New Roman"/>
                <w:b/>
                <w:sz w:val="24"/>
              </w:rPr>
              <w:t>C.I.: 4.273.815</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Alrifaai Alrifaaie Amaal</w:t>
              <w:br/>
            </w:r>
            <w:r>
              <w:rPr>
                <w:rFonts w:ascii="Times New Roman" w:hAnsi="Times New Roman"/>
                <w:b/>
                <w:sz w:val="24"/>
              </w:rPr>
              <w:t>C.I.: 31.985.792</w:t>
            </w:r>
          </w:p>
        </w:tc>
      </w:tr>
    </w:tbl>
    <w:p>
      <w:pPr>
        <w:spacing w:line="276" w:lineRule="auto" w:before="1272" w:after="0"/>
        <w:jc w:val="center"/>
      </w:pPr>
      <w:r>
        <w:rPr>
          <w:rFonts w:ascii="Times New Roman" w:hAnsi="Times New Roman"/>
          <w:sz w:val="24"/>
        </w:rPr>
        <w:t>El Tigre, julio de 2026</w:t>
      </w:r>
    </w:p>
    <w:p>
      <w:pPr>
        <w:sectPr>
          <w:footerReference w:type="default" r:id="rId15"/>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INDUSTRIAL</w:t>
      </w:r>
    </w:p>
    <w:p>
      <w:pPr>
        <w:spacing w:line="360" w:lineRule="auto"/>
        <w:ind w:firstLine="0"/>
        <w:jc w:val="both"/>
      </w:pPr>
      <w:r>
        <w:rPr>
          <w:rFonts w:ascii="Times New Roman" w:hAnsi="Times New Roman"/>
          <w:sz w:val="24"/>
        </w:rPr>
        <w:t>En mi carácter de tutor industrial del informe de pasantías presentado por: Alrifaai Alrifaaie Amaal, de Cédula de Identidad V-31.985.792; para optar al grado de Técnico Superior Universitario en la especialidad de: Administración, cuyo título es; “EVALUACIÓN DEL CONTROL ADMINISTRATIVO APLICADO A LA GESTIÓN DE SOLICITUDES DE SERVICIOS DE TELECOMUNICACIONES EN LA EMPRESA INGENIERÍA DE TELECOMUNICACIONES,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Lenny Mata</w:t>
      </w:r>
    </w:p>
    <w:p>
      <w:pPr>
        <w:spacing w:before="0"/>
        <w:jc w:val="center"/>
      </w:pPr>
      <w:r>
        <w:rPr>
          <w:rFonts w:ascii="Times New Roman" w:hAnsi="Times New Roman"/>
          <w:sz w:val="24"/>
        </w:rPr>
        <w:t>C.I.: 8969750</w:t>
      </w:r>
    </w:p>
    <w:p>
      <w:pPr>
        <w:sectPr>
          <w:footerReference w:type="default" r:id="rId16"/>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ACADÉMICO</w:t>
      </w:r>
    </w:p>
    <w:p>
      <w:pPr>
        <w:spacing w:line="360" w:lineRule="auto"/>
        <w:ind w:firstLine="0"/>
        <w:jc w:val="both"/>
      </w:pPr>
      <w:r>
        <w:rPr>
          <w:rFonts w:ascii="Times New Roman" w:hAnsi="Times New Roman"/>
          <w:sz w:val="24"/>
        </w:rPr>
        <w:t>En mi carácter de tutor académico del informe de pasantías presentado por: Alrifaai Alrifaaie Amaal, de Cédula de Identidad V-31.985.792; para optar al grado de Técnico Superior Universitario en la especialidad de: Administración, cuyo título es; “EVALUACIÓN DEL CONTROL ADMINISTRATIVO APLICADO A LA GESTIÓN DE SOLICITUDES DE SERVICIOS DE TELECOMUNICACIONES EN LA EMPRESA INGENIERÍA DE TELECOMUNICACIONES,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Lic. Carlos Mendoza</w:t>
      </w:r>
    </w:p>
    <w:p>
      <w:pPr>
        <w:spacing w:before="0"/>
        <w:jc w:val="center"/>
      </w:pPr>
      <w:r>
        <w:rPr>
          <w:rFonts w:ascii="Times New Roman" w:hAnsi="Times New Roman"/>
          <w:sz w:val="24"/>
        </w:rPr>
        <w:t>C.I.: 4.273.815</w:t>
      </w:r>
    </w:p>
    <w:p>
      <w:pPr>
        <w:sectPr>
          <w:footerReference w:type="default" r:id="rId17"/>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18"/>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fldChar w:fldCharType="begin"/>
        <w:instrText xml:space="preserve"> PAGEREF bm_lista_anexos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III: MARCO TEÓRICO</w:t>
        <w:tab/>
      </w:r>
      <w:r>
        <w:rPr>
          <w:rFonts w:ascii="Times New Roman" w:hAnsi="Times New Roman"/>
          <w:b/>
          <w:sz w:val="24"/>
        </w:rPr>
        <w:fldChar w:fldCharType="begin"/>
        <w:instrText xml:space="preserve"> PAGEREF bm_cap3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Bases teóricas referenciales</w:t>
        <w:tab/>
      </w:r>
      <w:r>
        <w:rPr>
          <w:rFonts w:ascii="Times New Roman" w:hAnsi="Times New Roman"/>
          <w:b w:val="0"/>
          <w:sz w:val="24"/>
        </w:rPr>
        <w:fldChar w:fldCharType="begin"/>
        <w:instrText xml:space="preserve"> PAGEREF bm_cap3_bases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19"/>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20"/>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21"/>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22"/>
          <w:pgSz w:w="12240" w:h="15840"/>
          <w:pgMar w:top="1701" w:right="1701" w:bottom="1701" w:left="2268" w:header="720" w:footer="720" w:gutter="0"/>
          <w:cols w:space="720"/>
          <w:titlePg/>
          <w:docGrid w:linePitch="360"/>
        </w:sectPr>
      </w:pPr>
    </w:p>
    <w:p>
      <w:pPr>
        <w:sectPr>
          <w:footerReference w:type="default" r:id="rId23"/>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4"/>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Representación cartográfica y ubicación espacial de Ingeniería de Telecomunicaciones, C.A.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estructural y niveles jerárquicos de Ingeniería de Telecomunicaciones, C.A.</w:t>
        <w:tab/>
      </w:r>
      <w:r>
        <w:rPr>
          <w:rFonts w:ascii="Times New Roman" w:hAnsi="Times New Roman"/>
          <w:b w:val="0"/>
          <w:sz w:val="24"/>
        </w:rPr>
        <w:fldChar w:fldCharType="begin"/>
        <w:instrText xml:space="preserve"> PAGEREF bm_grafico2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3</w:t>
        <w:tab/>
        <w:t>Organigrama del Departamento de Administración.</w:t>
        <w:tab/>
      </w:r>
      <w:r>
        <w:rPr>
          <w:rFonts w:ascii="Times New Roman" w:hAnsi="Times New Roman"/>
          <w:b w:val="0"/>
          <w:sz w:val="24"/>
        </w:rPr>
        <w:fldChar w:fldCharType="begin"/>
        <w:instrText xml:space="preserve"> PAGEREF bm_grafico3 \h </w:instrText>
        <w:fldChar w:fldCharType="separate"/>
        <w:t>?</w:t>
        <w:fldChar w:fldCharType="end"/>
      </w:r>
    </w:p>
    <w:p>
      <w:pPr>
        <w:sectPr>
          <w:footerReference w:type="default" r:id="rId25"/>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26"/>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Flujograma del proceso de gestión de solicitudes de servicios</w:t>
        <w:tab/>
      </w:r>
      <w:r>
        <w:rPr>
          <w:rFonts w:ascii="Times New Roman" w:hAnsi="Times New Roman"/>
          <w:b w:val="0"/>
          <w:sz w:val="24"/>
        </w:rPr>
        <w:fldChar w:fldCharType="begin"/>
        <w:instrText xml:space="preserve"> PAGEREF bm_anexoA \h </w:instrText>
        <w:fldChar w:fldCharType="separate"/>
        <w:t>?</w:t>
        <w:fldChar w:fldCharType="end"/>
      </w:r>
    </w:p>
    <w:p>
      <w:pPr>
        <w:sectPr>
          <w:footerReference w:type="default" r:id="rId27"/>
          <w:type w:val="continuous"/>
          <w:pgSz w:w="12240" w:h="15840"/>
          <w:pgMar w:top="1701" w:right="1701" w:bottom="1701" w:left="2268" w:header="720" w:footer="720" w:gutter="0"/>
          <w:cols w:space="720"/>
          <w:titlePg/>
          <w:docGrid w:linePitch="360"/>
        </w:sectPr>
      </w:pPr>
    </w:p>
    <w:p>
      <w:bookmarkStart w:id="bm_resumen" w:name="bm_resumen"/>
      <w:pPr>
        <w:spacing w:before="1140" w:after="480"/>
        <w:jc w:val="center"/>
      </w:pPr>
      <w:r>
        <w:rPr>
          <w:rFonts w:ascii="Times New Roman" w:hAnsi="Times New Roman"/>
          <w:b/>
          <w:sz w:val="24"/>
        </w:rPr>
        <w:t>RESUMEN</w:t>
      </w:r>
      <w:bookmarkEnd w:id="bm_resumen"/>
    </w:p>
    <w:p>
      <w:pPr>
        <w:sectPr>
          <w:footerReference w:type="default" r:id="rId28"/>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la evaluación del control administrativo aplicado a la gestión de solicitudes de servicios de telecomunicaciones en la empresa Ingeniería de Telecomunicaciones, C.A. (IDETEL). La investigación se enmarca en la modalidad de proyecto factible apoyado en un diagnóstico de campo. Durante el estudio se identificó la ausencia de procedimientos formalizados para el seguimiento de solicitudes de afiliación e incidencias, la falta de formatos estandarizados de registro y la inexistencia de indicadores de gestión que permitan evaluar el desempeño del proceso de atención al suscriptor. La propuesta contempla un nuevo flujo de trabajo estandarizado, formatos unificados de control y un conjunto de indicadores de gestión orientados a fortalecer el control administrativo y optimizar la calidad del servicio prestado.</w:t>
      </w:r>
    </w:p>
    <w:p/>
    <w:p>
      <w:pPr>
        <w:ind w:firstLine="709"/>
      </w:pPr>
      <w:r>
        <w:rPr>
          <w:b/>
        </w:rPr>
        <w:t xml:space="preserve">Palabras claves: </w:t>
      </w:r>
      <w:r>
        <w:t>control administrativo, solicitudes de servicios, telecomunicaciones, proyecto factible, pasantías.</w:t>
      </w:r>
    </w:p>
    <w:p>
      <w:pPr>
        <w:sectPr>
          <w:footerReference w:type="default" r:id="rId29"/>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30"/>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Administración, tiene como propósito evaluar el control administrativo aplicado a la gestión de solicitudes de servicios de telecomunicaciones en la empresa Ingeniería de Telecomunicaciones, C.A. (IDETEL), con sede en la ciudad de El Tigre, estado Anzoátegui. El estudio parte del diagnóstico de las deficiencias presentes en el proceso de atención al suscriptor para proponer mejoras procedimentales que optimicen el control interno del departamento. El informe se organiza en cinco capítulos: el Capítulo I presenta la realidad organizacional de IDETEL; el Capítulo II desarrolla el diagnóstico situacional y la planificación del proyecto; el Capítulo III sustenta las bases teóricas que orientan la propuesta; el Capítulo IV describe las actividades ejecutadas durante las diez semanas de pasantía; y el Capítulo V presenta las conclusiones y recomendaciones derivadas del proceso investigativo.</w:t>
      </w:r>
    </w:p>
    <w:p>
      <w:pPr>
        <w:sectPr>
          <w:footerReference w:type="default" r:id="rId31"/>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2"/>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Ingeniería de Telecomunicaciones, C.A. (IDETEL / INTELCA)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Ingeniería de Telecomunicaciones, C.A. se consolidó en la ciudad de El Tigre, estado Anzoátegui, acumulando una trayectoria de más de cuatro (4) décadas en el mercado tecnológico de la región oriental de Venezuela. Un hito fundamental en su evolución histórica se remonta al año 1983, cuando la organización se convirtió en el primer Distribuidor Autorizado Motorola para sistemas de radio de dos vías en el oriente del país, alianza estratégica que se ha mantenido vigente e ininterrumpida a lo largo de las décadas.</w:t>
      </w:r>
    </w:p>
    <w:p>
      <w:pPr>
        <w:spacing w:line="360" w:lineRule="auto" w:after="0" w:before="0"/>
        <w:ind w:firstLine="709"/>
        <w:jc w:val="both"/>
      </w:pPr>
      <w:r>
        <w:rPr>
          <w:rFonts w:ascii="Times New Roman" w:hAnsi="Times New Roman"/>
          <w:i w:val="0"/>
          <w:sz w:val="24"/>
        </w:rPr>
        <w:t>A través de los años, impulsada por las demandas operativas de la Faja Petrolífera del Orinoco y las necesidades de conectividad comercial, la empresa expandió sus líneas tecnológicas progresivamente. Pasó de suministrar sistemas de radiocomunicación analógica convencional en bandas VHF/UHF y sistemas Trunking analógicos (800 MHz), a liderar el mercado regional con tecnologías de radiocomunicación digital de gama alta como los estándares TETRA (europeo) y P25 (americano), esenciales para operaciones industriales de misión crítica.</w:t>
      </w:r>
    </w:p>
    <w:p>
      <w:pPr>
        <w:spacing w:line="360" w:lineRule="auto" w:after="0" w:before="0"/>
        <w:ind w:firstLine="709"/>
        <w:jc w:val="both"/>
      </w:pPr>
      <w:r>
        <w:rPr>
          <w:rFonts w:ascii="Times New Roman" w:hAnsi="Times New Roman"/>
          <w:i w:val="0"/>
          <w:sz w:val="24"/>
        </w:rPr>
        <w:t>Con la maduración del sector tecnológico, IDETEL incorporó a su portafolio soluciones de ampliación de cobertura inalámbrica, enlaces de microondas en bandas licenciadas y no licenciadas, redes de telemetría y telecomunicaciones alámbricas, consolidando su modelo de negocios en torno a Proyectos IPC (Ingeniería, Procura y Construcción), respaldado por un laboratorio técnico especializado y personal altamente calificado.</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Brindar soluciones con altos estándares de confiabilidad en servicios de radiocomunicación y datos al segmento de mercado PyME, así como la entrega de servicios de calidad en el sector petrolero, asociados a los esfuerzos en ingeniería (integración multidisciplinaria), planificación y ejecución de proyectos de telecomunicaciones y automatización.</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Ser reconocidos por los clientes como un proveedor de servicios altamente confiable y con altos estándares técnicos y de ingeniería, con capacidad de brindar soluciones multidisciplinarias en el área de automatización y telecomunicaciones, fortaleciendo continuamente el capital humano mediante capacitación y mejora progresiva de las instalaciones, con el fin de obtener la innovación, competitividad y liderazgo necesarios para sobresalir en el mercado de nuevas tecnologías.</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Confiabilidad: </w:t>
      </w:r>
      <w:r>
        <w:rPr>
          <w:rFonts w:ascii="Times New Roman" w:hAnsi="Times New Roman"/>
          <w:sz w:val="24"/>
        </w:rPr>
        <w:t>Compromiso de entregar soluciones tecnológicas robustas que cumplan con los más altos estándares técnicos y de ingeniería para garantizar operaciones continuas y seguras.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Innovación y Competitividad: </w:t>
      </w:r>
      <w:r>
        <w:rPr>
          <w:rFonts w:ascii="Times New Roman" w:hAnsi="Times New Roman"/>
          <w:sz w:val="24"/>
        </w:rPr>
        <w:t>Búsqueda constante de actualización y adopción de tecnologías de última generación para sobresalir y liderar el mercado de soluciones inalámbricas y ópticas.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Seguridad Laboral e Higiene Ocupacional: </w:t>
      </w:r>
      <w:r>
        <w:rPr>
          <w:rFonts w:ascii="Times New Roman" w:hAnsi="Times New Roman"/>
          <w:sz w:val="24"/>
        </w:rPr>
        <w:t>Aplicación rigurosa de normas de protección e integridad física del personal en cada obra, instalación en campo o infraestructura crítica atendida.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Excelencia Técnica: </w:t>
      </w:r>
      <w:r>
        <w:rPr>
          <w:rFonts w:ascii="Times New Roman" w:hAnsi="Times New Roman"/>
          <w:sz w:val="24"/>
        </w:rPr>
        <w:t>Orientación hacia la precisión en los procesos de diseño, empalme por fusión, certificación de redes y asesoría en laboratorio.</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Ejecutar todo género de actividad o prestación de servicios relacionados directa o indirectamente con el ramo de las comunicaciones, computación y la electrónica en general.</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Prestar servicios de importación, manufacturación, asesoría, ventas, instalaciones, arrendamientos, supervisión y mantenimiento en el área de telecomunicaciones.</w:t>
      </w:r>
    </w:p>
    <w:p>
      <w:pPr>
        <w:spacing w:line="360" w:lineRule="auto"/>
        <w:ind w:firstLine="709"/>
        <w:jc w:val="both"/>
      </w:pPr>
      <w:r>
        <w:rPr>
          <w:rFonts w:ascii="Times New Roman" w:hAnsi="Times New Roman"/>
          <w:sz w:val="24"/>
        </w:rPr>
        <w:t xml:space="preserve">2. </w:t>
      </w:r>
      <w:r>
        <w:rPr>
          <w:rFonts w:ascii="Times New Roman" w:hAnsi="Times New Roman"/>
          <w:sz w:val="24"/>
        </w:rPr>
        <w:t>Representar total o parcialmente cualquier producto comercial relacionado con sus operaciones mercantiles.</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La sede administrativa y operativa de Ingeniería de Telecomunicaciones, C.A. se encuentra ubicada en la Calle Bolívar, Edificio La Suiza, Piso 1, Oficina Nro. 28, ciudad de El Tigre, Municipio Simón Rodríguez, estado Anzoátegui, Venezuela.</w:t>
      </w:r>
    </w:p>
    <w:p>
      <w:pPr>
        <w:spacing w:before="480"/>
        <w:jc w:val="center"/>
      </w:pPr>
      <w:r>
        <w:drawing>
          <wp:inline xmlns:a="http://schemas.openxmlformats.org/drawingml/2006/main" xmlns:pic="http://schemas.openxmlformats.org/drawingml/2006/picture">
            <wp:extent cx="1800000" cy="1125000"/>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1800000" cy="1125000"/>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Representación cartográfica y ubicación espacial de Ingeniería de Telecomunicaciones, C.A.</w:t>
      </w:r>
      <w:bookmarkEnd w:id="bm_grafico1"/>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line="360" w:lineRule="auto" w:after="0" w:before="0"/>
        <w:ind w:firstLine="709"/>
        <w:jc w:val="both"/>
      </w:pPr>
      <w:r>
        <w:rPr>
          <w:rFonts w:ascii="Times New Roman" w:hAnsi="Times New Roman"/>
          <w:i w:val="0"/>
          <w:sz w:val="24"/>
        </w:rPr>
        <w:t>La estructura del talento humano de Ingeniería de Telecomunicaciones, C.A. está conformada por personal multidisciplinario distribuido en las distintas áreas operativas y administrativas, con un total de ocho (8) trabajadores. La pasantía profesional se desarrolló en el Departamento de Administración, que dado el reducido tamaño del equipo tras un proceso de reestructuración de personal, opera con una estructura simplificada. Las funciones administrativas se concentran en dos (2) cargos activos: Supervisión de Administración, Contabilidad y Tributos, y Analista de Compras y Facturación, además del Analista de Atención al Cliente.</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La estructura organizativa de Ingeniería de Telecomunicaciones, C.A. es de tipo vertical, diseñada para garantizar una comunicación fluida entre los niveles directivos y operativos. A la cabeza se encuentra la Presidencia, seguida de la Gerencia General y Operaciones, de la cual se desprenden los departamentos de Supervisión de Administración, Contabilidad y Tributos, Supervisión Comercial, Área de Internet, Supervisión del NOC (Network Operations Center) y Mantenimiento de Radiocomunicación. Se presenta a continuación el organigrama general de la empresa y del Departamento de Administración.</w:t>
      </w:r>
    </w:p>
    <w:p>
      <w:pPr>
        <w:spacing w:before="480"/>
        <w:jc w:val="center"/>
      </w:pPr>
      <w:r>
        <w:drawing>
          <wp:inline xmlns:a="http://schemas.openxmlformats.org/drawingml/2006/main" xmlns:pic="http://schemas.openxmlformats.org/drawingml/2006/picture">
            <wp:extent cx="4320000" cy="1847904"/>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1847904"/>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estructural y niveles jerárquicos de Ingeniería de Telecomunicaciones, C.A.</w:t>
      </w:r>
      <w:bookmarkEnd w:id="bm_grafico2"/>
    </w:p>
    <w:p>
      <w:pPr>
        <w:spacing w:before="480"/>
        <w:jc w:val="center"/>
      </w:pPr>
      <w:r>
        <w:drawing>
          <wp:inline xmlns:a="http://schemas.openxmlformats.org/drawingml/2006/main" xmlns:pic="http://schemas.openxmlformats.org/drawingml/2006/picture">
            <wp:extent cx="4320000" cy="2680292"/>
            <wp:docPr id="4" name="Picture 4"/>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4320000" cy="2680292"/>
                    </a:xfrm>
                    <a:prstGeom prst="rect"/>
                  </pic:spPr>
                </pic:pic>
              </a:graphicData>
            </a:graphic>
          </wp:inline>
        </w:drawing>
      </w:r>
    </w:p>
    <w:p>
      <w:bookmarkStart w:id="bm_grafico3" w:name="bm_grafico3"/>
      <w:pPr>
        <w:spacing w:before="120" w:after="480"/>
        <w:jc w:val="center"/>
      </w:pPr>
      <w:r>
        <w:rPr>
          <w:rFonts w:ascii="Times New Roman" w:hAnsi="Times New Roman"/>
          <w:i/>
          <w:sz w:val="24"/>
        </w:rPr>
        <w:t xml:space="preserve">Gráfico 3. </w:t>
      </w:r>
      <w:r>
        <w:rPr>
          <w:rFonts w:ascii="Times New Roman" w:hAnsi="Times New Roman"/>
          <w:b/>
          <w:sz w:val="24"/>
        </w:rPr>
        <w:t>Organigrama del Departamento de Administración.</w:t>
      </w:r>
      <w:bookmarkEnd w:id="bm_grafico3"/>
    </w:p>
    <w:p>
      <w:pPr>
        <w:sectPr>
          <w:footerReference w:type="default" r:id="rId33"/>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34"/>
          <w:pgSz w:w="12240" w:h="15840"/>
          <w:pgMar w:top="1701"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En el contexto global actual, la gestión eficiente de los procesos administrativos constituye un factor determinante para la competitividad y sostenibilidad de las organizaciones del sector tecnológico. Las empresas proveedoras de servicios de telecomunicaciones enfrentan, de manera creciente, la necesidad de articular sus procedimientos internos con las exigencias de un mercado que demanda respuestas ágiles, trazabilidad en la atención al cliente y control riguroso sobre el ciclo de vida de cada solicitud de servicio.</w:t>
      </w:r>
    </w:p>
    <w:p>
      <w:pPr>
        <w:spacing w:line="360" w:lineRule="auto" w:after="0" w:before="0"/>
        <w:ind w:firstLine="709"/>
        <w:jc w:val="both"/>
      </w:pPr>
      <w:r>
        <w:rPr>
          <w:rFonts w:ascii="Times New Roman" w:hAnsi="Times New Roman"/>
          <w:i w:val="0"/>
          <w:sz w:val="24"/>
        </w:rPr>
        <w:t>A nivel nacional, el sector de telecomunicaciones en Venezuela ha experimentado una expansión sostenida, impulsada por la demanda de conectividad tanto en el segmento PyME como en el sector industrial y petrolero. Sin embargo, esta expansión ha puesto en evidencia debilidades estructurales en los sistemas de control administrativo de diversas organizaciones del ramo, particularmente en la gestión de solicitudes de servicio, donde la ausencia de procesos estandarizados genera retrasos, duplicidad de funciones y dificultades en la trazabilidad operativa.</w:t>
      </w:r>
    </w:p>
    <w:p>
      <w:pPr>
        <w:spacing w:line="360" w:lineRule="auto" w:after="0" w:before="0"/>
        <w:ind w:firstLine="709"/>
        <w:jc w:val="both"/>
      </w:pPr>
      <w:r>
        <w:rPr>
          <w:rFonts w:ascii="Times New Roman" w:hAnsi="Times New Roman"/>
          <w:i w:val="0"/>
          <w:sz w:val="24"/>
        </w:rPr>
        <w:t>En el caso específico de Ingeniería de Telecomunicaciones, C.A. (IDETEL), empresa con más de cuatro décadas de trayectoria en la región oriental del país, se identificó durante el período de pasantías que el Departamento de Administración presenta deficiencias en el control administrativo aplicado a la gestión de solicitudes de servicios. Concretamente, se observó que los procesos de afiliación de nuevos suscriptores e incidencias reportadas no cuentan con un sistema de seguimiento unificado que permita verificar en tiempo real el estado de cada solicitud, lo que genera inconsistencias entre los departamentos involucrados.</w:t>
      </w:r>
    </w:p>
    <w:p>
      <w:pPr>
        <w:spacing w:line="360" w:lineRule="auto" w:after="0" w:before="0"/>
        <w:ind w:firstLine="709"/>
        <w:jc w:val="both"/>
      </w:pPr>
      <w:r>
        <w:rPr>
          <w:rFonts w:ascii="Times New Roman" w:hAnsi="Times New Roman"/>
          <w:i w:val="0"/>
          <w:sz w:val="24"/>
        </w:rPr>
        <w:t>Las principales manifestaciones de la problemática identificada son las siguientes: (a) ausencia de registros estandarizados para el control de solicitudes de instalación y atención de incidencias, (b) comunicación fragmentada entre el área comercial, el NOC y las cuadrillas técnicas de campo, (c) retrasos en la actualización del sistema de tickets que dificultan el cierre oportuno de los casos, y (d) carencia de indicadores de gestión que permitan evaluar el desempeño del proceso de atención al suscriptor.</w:t>
      </w:r>
    </w:p>
    <w:p>
      <w:pPr>
        <w:spacing w:line="360" w:lineRule="auto" w:after="0" w:before="0"/>
        <w:ind w:firstLine="709"/>
        <w:jc w:val="both"/>
      </w:pPr>
      <w:r>
        <w:rPr>
          <w:rFonts w:ascii="Times New Roman" w:hAnsi="Times New Roman"/>
          <w:i w:val="0"/>
          <w:sz w:val="24"/>
        </w:rPr>
        <w:t>Las causas de esta situación se atribuyen principalmente a la falta de un protocolo administrativo formal que regule el flujo de las solicitudes desde su recepción hasta su cierre definitivo, así como a la dependencia de canales informales de comunicación entre las áreas involucradas. Como consecuencia, se generan reprocesos, insatisfacción en los clientes y sobrecarga operativa en los supervisores, comprometiendo la calidad del servicio prestado y la imagen institucional de la organización.</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Evaluar el control administrativo aplicado a la gestión de solicitudes de servicios de telecomunicaciones en la empresa Ingeniería de Telecomunicaciones, C.A., con el propósito de identificar las debilidades del proceso y proponer mejoras que optimicen la atención al suscriptor desde el Departamento de Administración.</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Describir los procesos administrativos actuales aplicados a la gestión de solicitudes de afiliación de nuevos suscriptores e incidencias en Ingeniería de Telecomunicaciones, C.A.</w:t>
      </w:r>
    </w:p>
    <w:p>
      <w:pPr>
        <w:spacing w:line="360" w:lineRule="auto"/>
        <w:ind w:firstLine="709"/>
        <w:jc w:val="both"/>
      </w:pPr>
      <w:r>
        <w:rPr>
          <w:rFonts w:ascii="Times New Roman" w:hAnsi="Times New Roman"/>
          <w:sz w:val="24"/>
        </w:rPr>
        <w:t xml:space="preserve">2. </w:t>
      </w:r>
      <w:r>
        <w:rPr>
          <w:rFonts w:ascii="Times New Roman" w:hAnsi="Times New Roman"/>
          <w:sz w:val="24"/>
        </w:rPr>
        <w:t>Identificar las deficiencias presentes en el sistema de control administrativo utilizado para el seguimiento de solicitudes de servicios de telecomunicaciones.</w:t>
      </w:r>
    </w:p>
    <w:p>
      <w:pPr>
        <w:spacing w:line="360" w:lineRule="auto"/>
        <w:ind w:firstLine="709"/>
        <w:jc w:val="both"/>
      </w:pPr>
      <w:r>
        <w:rPr>
          <w:rFonts w:ascii="Times New Roman" w:hAnsi="Times New Roman"/>
          <w:sz w:val="24"/>
        </w:rPr>
        <w:t xml:space="preserve">3. </w:t>
      </w:r>
      <w:r>
        <w:rPr>
          <w:rFonts w:ascii="Times New Roman" w:hAnsi="Times New Roman"/>
          <w:sz w:val="24"/>
        </w:rPr>
        <w:t>Analizar el impacto de las debilidades detectadas en el control administrativo sobre la calidad del servicio prestado a los suscriptores de la empresa.</w:t>
      </w:r>
    </w:p>
    <w:p>
      <w:pPr>
        <w:spacing w:line="360" w:lineRule="auto"/>
        <w:ind w:firstLine="709"/>
        <w:jc w:val="both"/>
      </w:pPr>
      <w:r>
        <w:rPr>
          <w:rFonts w:ascii="Times New Roman" w:hAnsi="Times New Roman"/>
          <w:sz w:val="24"/>
        </w:rPr>
        <w:t xml:space="preserve">4. </w:t>
      </w:r>
      <w:r>
        <w:rPr>
          <w:rFonts w:ascii="Times New Roman" w:hAnsi="Times New Roman"/>
          <w:sz w:val="24"/>
        </w:rPr>
        <w:t>Proponer mejoras al proceso de control administrativo de solicitudes de servicios que contribuyan a la optimización operativa y a la satisfacción del cliente en Ingeniería de Telecomunicaciones, C.A.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específico y las actividades técnicas a ejecutar para el desarrollo de la evaluación del control administrativo:</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1644"/>
        <w:gridCol w:w="1644"/>
        <w:gridCol w:w="1644"/>
        <w:gridCol w:w="1644"/>
        <w:gridCol w:w="1695"/>
      </w:tblGrid>
      <w:tr>
        <w:tc>
          <w:tcPr>
            <w:tcW w:w="1644" w:type="dxa"/>
            <w:shd w:val="clear" w:color="auto" w:fill="4472C4"/>
          </w:tcPr>
          <w:p>
            <w:pPr>
              <w:spacing w:before="60" w:after="60" w:line="240" w:lineRule="auto"/>
              <w:jc w:val="center"/>
            </w:pPr>
            <w:r>
              <w:rPr>
                <w:rFonts w:ascii="Times New Roman" w:hAnsi="Times New Roman"/>
                <w:b/>
                <w:color w:val="FFFFFF"/>
                <w:sz w:val="20"/>
              </w:rPr>
              <w:t>Objetivo</w:t>
            </w:r>
          </w:p>
        </w:tc>
        <w:tc>
          <w:tcPr>
            <w:tcW w:w="1644" w:type="dxa"/>
            <w:shd w:val="clear" w:color="auto" w:fill="4472C4"/>
          </w:tcPr>
          <w:p>
            <w:pPr>
              <w:spacing w:before="60" w:after="60" w:line="240" w:lineRule="auto"/>
              <w:jc w:val="center"/>
            </w:pPr>
            <w:r>
              <w:rPr>
                <w:rFonts w:ascii="Times New Roman" w:hAnsi="Times New Roman"/>
                <w:b/>
                <w:color w:val="FFFFFF"/>
                <w:sz w:val="20"/>
              </w:rPr>
              <w:t>Variable</w:t>
            </w:r>
          </w:p>
        </w:tc>
        <w:tc>
          <w:tcPr>
            <w:tcW w:w="1644" w:type="dxa"/>
            <w:shd w:val="clear" w:color="auto" w:fill="4472C4"/>
          </w:tcPr>
          <w:p>
            <w:pPr>
              <w:spacing w:before="60" w:after="60" w:line="240" w:lineRule="auto"/>
              <w:jc w:val="center"/>
            </w:pPr>
            <w:r>
              <w:rPr>
                <w:rFonts w:ascii="Times New Roman" w:hAnsi="Times New Roman"/>
                <w:b/>
                <w:color w:val="FFFFFF"/>
                <w:sz w:val="20"/>
              </w:rPr>
              <w:t>Actividades</w:t>
            </w:r>
          </w:p>
        </w:tc>
        <w:tc>
          <w:tcPr>
            <w:tcW w:w="1644" w:type="dxa"/>
            <w:shd w:val="clear" w:color="auto" w:fill="4472C4"/>
          </w:tcPr>
          <w:p>
            <w:pPr>
              <w:spacing w:before="60" w:after="60" w:line="240" w:lineRule="auto"/>
              <w:jc w:val="center"/>
            </w:pPr>
            <w:r>
              <w:rPr>
                <w:rFonts w:ascii="Times New Roman" w:hAnsi="Times New Roman"/>
                <w:b/>
                <w:color w:val="FFFFFF"/>
                <w:sz w:val="20"/>
              </w:rPr>
              <w:t>Técnica</w:t>
            </w:r>
          </w:p>
        </w:tc>
        <w:tc>
          <w:tcPr>
            <w:tcW w:w="1695" w:type="dxa"/>
            <w:shd w:val="clear" w:color="auto" w:fill="4472C4"/>
          </w:tcPr>
          <w:p>
            <w:pPr>
              <w:spacing w:before="60" w:after="60" w:line="240" w:lineRule="auto"/>
              <w:jc w:val="center"/>
            </w:pPr>
            <w:r>
              <w:rPr>
                <w:rFonts w:ascii="Times New Roman" w:hAnsi="Times New Roman"/>
                <w:b/>
                <w:color w:val="FFFFFF"/>
                <w:sz w:val="20"/>
              </w:rPr>
              <w:t>Instrumento</w:t>
            </w:r>
          </w:p>
        </w:tc>
      </w:tr>
      <w:tr>
        <w:tc>
          <w:tcPr>
            <w:tcW w:w="1644" w:type="dxa"/>
            <w:shd w:val="clear" w:color="auto" w:fill="FFFFFF"/>
          </w:tcPr>
          <w:p>
            <w:pPr>
              <w:spacing w:before="60" w:after="60" w:line="240" w:lineRule="auto"/>
              <w:jc w:val="both"/>
            </w:pPr>
            <w:r>
              <w:rPr>
                <w:rFonts w:ascii="Times New Roman" w:hAnsi="Times New Roman"/>
                <w:b w:val="0"/>
                <w:color w:val="000000"/>
                <w:sz w:val="20"/>
              </w:rPr>
              <w:t>Describir los procesos administrativos actuales de solicitudes de servicio.</w:t>
            </w:r>
          </w:p>
        </w:tc>
        <w:tc>
          <w:tcPr>
            <w:tcW w:w="1644" w:type="dxa"/>
            <w:shd w:val="clear" w:color="auto" w:fill="FFFFFF"/>
          </w:tcPr>
          <w:p>
            <w:pPr>
              <w:spacing w:before="60" w:after="60" w:line="240" w:lineRule="auto"/>
              <w:jc w:val="both"/>
            </w:pPr>
            <w:r>
              <w:rPr>
                <w:rFonts w:ascii="Times New Roman" w:hAnsi="Times New Roman"/>
                <w:b w:val="0"/>
                <w:color w:val="000000"/>
                <w:sz w:val="20"/>
              </w:rPr>
              <w:t>Procesos administrativos de gestión de solicitudes de servicio.</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revisión documental del flujo de solicitudes.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análisis documental.</w:t>
            </w:r>
          </w:p>
        </w:tc>
        <w:tc>
          <w:tcPr>
            <w:tcW w:w="1695" w:type="dxa"/>
            <w:shd w:val="clear" w:color="auto" w:fill="FFFFFF"/>
          </w:tcPr>
          <w:p>
            <w:pPr>
              <w:spacing w:before="60" w:after="60" w:line="240" w:lineRule="auto"/>
              <w:jc w:val="both"/>
            </w:pPr>
            <w:r>
              <w:rPr>
                <w:rFonts w:ascii="Times New Roman" w:hAnsi="Times New Roman"/>
                <w:b w:val="0"/>
                <w:color w:val="000000"/>
                <w:sz w:val="20"/>
              </w:rPr>
              <w:t>Guía de observación, documentos internos y computadora.</w:t>
            </w:r>
          </w:p>
        </w:tc>
      </w:tr>
      <w:tr>
        <w:tc>
          <w:tcPr>
            <w:tcW w:w="1644" w:type="dxa"/>
            <w:shd w:val="clear" w:color="auto" w:fill="D9E1F2"/>
          </w:tcPr>
          <w:p>
            <w:pPr>
              <w:spacing w:before="60" w:after="60" w:line="240" w:lineRule="auto"/>
              <w:jc w:val="both"/>
            </w:pPr>
            <w:r>
              <w:rPr>
                <w:rFonts w:ascii="Times New Roman" w:hAnsi="Times New Roman"/>
                <w:b w:val="0"/>
                <w:color w:val="000000"/>
                <w:sz w:val="20"/>
              </w:rPr>
              <w:t>Identificar las deficiencias en el control administrativo de solicitudes.</w:t>
            </w:r>
          </w:p>
        </w:tc>
        <w:tc>
          <w:tcPr>
            <w:tcW w:w="1644" w:type="dxa"/>
            <w:shd w:val="clear" w:color="auto" w:fill="D9E1F2"/>
          </w:tcPr>
          <w:p>
            <w:pPr>
              <w:spacing w:before="60" w:after="60" w:line="240" w:lineRule="auto"/>
              <w:jc w:val="both"/>
            </w:pPr>
            <w:r>
              <w:rPr>
                <w:rFonts w:ascii="Times New Roman" w:hAnsi="Times New Roman"/>
                <w:b w:val="0"/>
                <w:color w:val="000000"/>
                <w:sz w:val="20"/>
              </w:rPr>
              <w:t>Deficiencias del control administrativo de solicitudes.</w:t>
            </w:r>
          </w:p>
        </w:tc>
        <w:tc>
          <w:tcPr>
            <w:tcW w:w="1644" w:type="dxa"/>
            <w:shd w:val="clear" w:color="auto" w:fill="D9E1F2"/>
          </w:tcPr>
          <w:p>
            <w:pPr>
              <w:spacing w:before="60" w:after="60" w:line="240" w:lineRule="auto"/>
              <w:jc w:val="both"/>
            </w:pPr>
            <w:r>
              <w:rPr>
                <w:rFonts w:ascii="Times New Roman" w:hAnsi="Times New Roman"/>
                <w:b w:val="0"/>
                <w:color w:val="000000"/>
                <w:sz w:val="20"/>
              </w:rPr>
              <w:t>Entrevistas al personal administrativo y revisión de registros históricos.</w:t>
            </w:r>
          </w:p>
        </w:tc>
        <w:tc>
          <w:tcPr>
            <w:tcW w:w="1644" w:type="dxa"/>
            <w:shd w:val="clear" w:color="auto" w:fill="D9E1F2"/>
          </w:tcPr>
          <w:p>
            <w:pPr>
              <w:spacing w:before="60" w:after="60" w:line="240" w:lineRule="auto"/>
              <w:jc w:val="both"/>
            </w:pPr>
            <w:r>
              <w:rPr>
                <w:rFonts w:ascii="Times New Roman" w:hAnsi="Times New Roman"/>
                <w:b w:val="0"/>
                <w:color w:val="000000"/>
                <w:sz w:val="20"/>
              </w:rPr>
              <w:t>Entrevista no estructurada y análisis documental.</w:t>
            </w:r>
          </w:p>
        </w:tc>
        <w:tc>
          <w:tcPr>
            <w:tcW w:w="1695" w:type="dxa"/>
            <w:shd w:val="clear" w:color="auto" w:fill="D9E1F2"/>
          </w:tcPr>
          <w:p>
            <w:pPr>
              <w:spacing w:before="60" w:after="60" w:line="240" w:lineRule="auto"/>
              <w:jc w:val="both"/>
            </w:pPr>
            <w:r>
              <w:rPr>
                <w:rFonts w:ascii="Times New Roman" w:hAnsi="Times New Roman"/>
                <w:b w:val="0"/>
                <w:color w:val="000000"/>
                <w:sz w:val="20"/>
              </w:rPr>
              <w:t>Guía de entrevista, registros históricos de tickets y computadora.</w:t>
            </w:r>
          </w:p>
        </w:tc>
      </w:tr>
      <w:tr>
        <w:tc>
          <w:tcPr>
            <w:tcW w:w="1644" w:type="dxa"/>
            <w:shd w:val="clear" w:color="auto" w:fill="FFFFFF"/>
          </w:tcPr>
          <w:p>
            <w:pPr>
              <w:spacing w:before="60" w:after="60" w:line="240" w:lineRule="auto"/>
              <w:jc w:val="both"/>
            </w:pPr>
            <w:r>
              <w:rPr>
                <w:rFonts w:ascii="Times New Roman" w:hAnsi="Times New Roman"/>
                <w:b w:val="0"/>
                <w:color w:val="000000"/>
                <w:sz w:val="20"/>
              </w:rPr>
              <w:t>Analizar el impacto de las debilidades en la calidad del servicio.</w:t>
            </w:r>
          </w:p>
        </w:tc>
        <w:tc>
          <w:tcPr>
            <w:tcW w:w="1644" w:type="dxa"/>
            <w:shd w:val="clear" w:color="auto" w:fill="FFFFFF"/>
          </w:tcPr>
          <w:p>
            <w:pPr>
              <w:spacing w:before="60" w:after="60" w:line="240" w:lineRule="auto"/>
              <w:jc w:val="both"/>
            </w:pPr>
            <w:r>
              <w:rPr>
                <w:rFonts w:ascii="Times New Roman" w:hAnsi="Times New Roman"/>
                <w:b w:val="0"/>
                <w:color w:val="000000"/>
                <w:sz w:val="20"/>
              </w:rPr>
              <w:t>Impacto del control administrativo en la calidad del servicio.</w:t>
            </w:r>
          </w:p>
        </w:tc>
        <w:tc>
          <w:tcPr>
            <w:tcW w:w="1644" w:type="dxa"/>
            <w:shd w:val="clear" w:color="auto" w:fill="FFFFFF"/>
          </w:tcPr>
          <w:p>
            <w:pPr>
              <w:spacing w:before="60" w:after="60" w:line="240" w:lineRule="auto"/>
              <w:jc w:val="both"/>
            </w:pPr>
            <w:r>
              <w:rPr>
                <w:rFonts w:ascii="Times New Roman" w:hAnsi="Times New Roman"/>
                <w:b w:val="0"/>
                <w:color w:val="000000"/>
                <w:sz w:val="20"/>
              </w:rPr>
              <w:t>Análisis de tiempos de respuesta y correlación con quejas de suscriptores.</w:t>
            </w:r>
          </w:p>
        </w:tc>
        <w:tc>
          <w:tcPr>
            <w:tcW w:w="1644" w:type="dxa"/>
            <w:shd w:val="clear" w:color="auto" w:fill="FFFFFF"/>
          </w:tcPr>
          <w:p>
            <w:pPr>
              <w:spacing w:before="60" w:after="60" w:line="240" w:lineRule="auto"/>
              <w:jc w:val="both"/>
            </w:pPr>
            <w:r>
              <w:rPr>
                <w:rFonts w:ascii="Times New Roman" w:hAnsi="Times New Roman"/>
                <w:b w:val="0"/>
                <w:color w:val="000000"/>
                <w:sz w:val="20"/>
              </w:rPr>
              <w:t>Análisis estadístico y revisión de registros.</w:t>
            </w:r>
          </w:p>
        </w:tc>
        <w:tc>
          <w:tcPr>
            <w:tcW w:w="1695" w:type="dxa"/>
            <w:shd w:val="clear" w:color="auto" w:fill="FFFFFF"/>
          </w:tcPr>
          <w:p>
            <w:pPr>
              <w:spacing w:before="60" w:after="60" w:line="240" w:lineRule="auto"/>
              <w:jc w:val="both"/>
            </w:pPr>
            <w:r>
              <w:rPr>
                <w:rFonts w:ascii="Times New Roman" w:hAnsi="Times New Roman"/>
                <w:b w:val="0"/>
                <w:color w:val="000000"/>
                <w:sz w:val="20"/>
              </w:rPr>
              <w:t>Base de datos de incidencias y hojas de cálculo.</w:t>
            </w:r>
          </w:p>
        </w:tc>
      </w:tr>
      <w:tr>
        <w:tc>
          <w:tcPr>
            <w:tcW w:w="1644" w:type="dxa"/>
            <w:shd w:val="clear" w:color="auto" w:fill="D9E1F2"/>
          </w:tcPr>
          <w:p>
            <w:pPr>
              <w:spacing w:before="60" w:after="60" w:line="240" w:lineRule="auto"/>
              <w:jc w:val="both"/>
            </w:pPr>
            <w:r>
              <w:rPr>
                <w:rFonts w:ascii="Times New Roman" w:hAnsi="Times New Roman"/>
                <w:b w:val="0"/>
                <w:color w:val="000000"/>
                <w:sz w:val="20"/>
              </w:rPr>
              <w:t>Proponer mejoras al proceso de control administrativo.</w:t>
            </w:r>
          </w:p>
        </w:tc>
        <w:tc>
          <w:tcPr>
            <w:tcW w:w="1644" w:type="dxa"/>
            <w:shd w:val="clear" w:color="auto" w:fill="D9E1F2"/>
          </w:tcPr>
          <w:p>
            <w:pPr>
              <w:spacing w:before="60" w:after="60" w:line="240" w:lineRule="auto"/>
              <w:jc w:val="both"/>
            </w:pPr>
            <w:r>
              <w:rPr>
                <w:rFonts w:ascii="Times New Roman" w:hAnsi="Times New Roman"/>
                <w:b w:val="0"/>
                <w:color w:val="000000"/>
                <w:sz w:val="20"/>
              </w:rPr>
              <w:t>Mejoras al proceso de control administrativo de solicitudes.</w:t>
            </w:r>
          </w:p>
        </w:tc>
        <w:tc>
          <w:tcPr>
            <w:tcW w:w="1644" w:type="dxa"/>
            <w:shd w:val="clear" w:color="auto" w:fill="D9E1F2"/>
          </w:tcPr>
          <w:p>
            <w:pPr>
              <w:spacing w:before="60" w:after="60" w:line="240" w:lineRule="auto"/>
              <w:jc w:val="both"/>
            </w:pPr>
            <w:r>
              <w:rPr>
                <w:rFonts w:ascii="Times New Roman" w:hAnsi="Times New Roman"/>
                <w:b w:val="0"/>
                <w:color w:val="000000"/>
                <w:sz w:val="20"/>
              </w:rPr>
              <w:t>Diseño de procedimientos estandarizados y formatos de control.</w:t>
            </w:r>
          </w:p>
        </w:tc>
        <w:tc>
          <w:tcPr>
            <w:tcW w:w="1644" w:type="dxa"/>
            <w:shd w:val="clear" w:color="auto" w:fill="D9E1F2"/>
          </w:tcPr>
          <w:p>
            <w:pPr>
              <w:spacing w:before="60" w:after="60" w:line="240" w:lineRule="auto"/>
              <w:jc w:val="both"/>
            </w:pPr>
            <w:r>
              <w:rPr>
                <w:rFonts w:ascii="Times New Roman" w:hAnsi="Times New Roman"/>
                <w:b w:val="0"/>
                <w:color w:val="000000"/>
                <w:sz w:val="20"/>
              </w:rPr>
              <w:t>Diseño procedimental y estandarización de formatos.</w:t>
            </w:r>
          </w:p>
        </w:tc>
        <w:tc>
          <w:tcPr>
            <w:tcW w:w="1695" w:type="dxa"/>
            <w:shd w:val="clear" w:color="auto" w:fill="D9E1F2"/>
          </w:tcPr>
          <w:p>
            <w:pPr>
              <w:spacing w:before="60" w:after="60" w:line="240" w:lineRule="auto"/>
              <w:jc w:val="both"/>
            </w:pPr>
            <w:r>
              <w:rPr>
                <w:rFonts w:ascii="Times New Roman" w:hAnsi="Times New Roman"/>
                <w:b w:val="0"/>
                <w:color w:val="000000"/>
                <w:sz w:val="20"/>
              </w:rPr>
              <w:t>Procesador de texto y normativas internas.</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diagnóstico, análisis y propuesta de mejora, distribuidas a lo largo de las diez (10)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w:t>
      </w:r>
      <w:bookmarkEnd w:id="bm_cuadro2"/>
    </w:p>
    <w:tbl>
      <w:tblPr>
        <w:tblStyle w:val="TableGrid"/>
        <w:tblW w:type="auto" w:w="0"/>
        <w:tblLook w:firstColumn="1" w:firstRow="1" w:lastColumn="0" w:lastRow="0" w:noHBand="0" w:noVBand="1" w:val="04A0"/>
        <w:tblLayout w:type="fixed"/>
      </w:tblPr>
      <w:tblGrid>
        <w:gridCol w:w="3033"/>
        <w:gridCol w:w="523"/>
        <w:gridCol w:w="523"/>
        <w:gridCol w:w="523"/>
        <w:gridCol w:w="523"/>
        <w:gridCol w:w="523"/>
        <w:gridCol w:w="523"/>
        <w:gridCol w:w="523"/>
        <w:gridCol w:w="523"/>
        <w:gridCol w:w="523"/>
        <w:gridCol w:w="523"/>
      </w:tblGrid>
      <w:tr>
        <w:tc>
          <w:tcPr>
            <w:tcW w:w="3033" w:type="dxa"/>
            <w:shd w:val="clear" w:color="auto" w:fill="4472C4"/>
          </w:tcPr>
          <w:p>
            <w:pPr>
              <w:spacing w:before="60" w:after="60" w:line="240" w:lineRule="auto"/>
              <w:jc w:val="center"/>
            </w:pPr>
            <w:r>
              <w:rPr>
                <w:rFonts w:ascii="Times New Roman" w:hAnsi="Times New Roman"/>
                <w:b/>
                <w:color w:val="FFFFFF"/>
                <w:sz w:val="20"/>
              </w:rPr>
              <w:t>Semana</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JUNIO</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JULIO</w:t>
            </w:r>
          </w:p>
        </w:tc>
        <w:tc>
          <w:tcPr>
            <w:tcW w:w="1046" w:type="dxa"/>
            <w:gridSpan w:val="2"/>
            <w:shd w:val="clear" w:color="auto" w:fill="4472C4"/>
          </w:tcPr>
          <w:p>
            <w:pPr>
              <w:spacing w:before="60" w:after="60" w:line="240" w:lineRule="auto"/>
              <w:jc w:val="center"/>
            </w:pPr>
            <w:r>
              <w:rPr>
                <w:rFonts w:ascii="Times New Roman" w:hAnsi="Times New Roman"/>
                <w:b/>
                <w:color w:val="FFFFFF"/>
                <w:sz w:val="20"/>
              </w:rPr>
              <w:t>AGOSTO</w:t>
            </w:r>
          </w:p>
        </w:tc>
      </w:tr>
      <w:tr>
        <w:tc>
          <w:tcPr>
            <w:tcW w:w="3033" w:type="dxa"/>
            <w:shd w:val="clear" w:color="auto" w:fill="4472C4"/>
          </w:tcPr>
          <w:p>
            <w:pPr>
              <w:spacing w:before="60" w:after="60" w:line="240" w:lineRule="auto"/>
              <w:jc w:val="center"/>
            </w:pPr>
            <w:r>
              <w:rPr>
                <w:rFonts w:ascii="Times New Roman" w:hAnsi="Times New Roman"/>
                <w:b/>
                <w:color w:val="FFFFFF"/>
                <w:sz w:val="20"/>
              </w:rPr>
              <w:t>Actividad</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r>
      <w:tr>
        <w:tc>
          <w:tcPr>
            <w:tcW w:w="3033" w:type="dxa"/>
            <w:shd w:val="clear" w:color="auto" w:fill="D9E1F2"/>
          </w:tcPr>
          <w:p>
            <w:pPr>
              <w:spacing w:before="60" w:after="60" w:line="240" w:lineRule="auto"/>
              <w:jc w:val="both"/>
            </w:pPr>
            <w:r>
              <w:rPr>
                <w:rFonts w:ascii="Times New Roman" w:hAnsi="Times New Roman"/>
                <w:b w:val="0"/>
                <w:color w:val="000000"/>
                <w:sz w:val="20"/>
              </w:rPr>
              <w:t>Inducción y reconocimiento del área de trabajo.</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Levantamiento de información sobre procesos administrativos.</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Observación y análisis del proceso de solicitudes de servicio.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Diseño y aplicación de instrumentos de recolección de datos.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Diagnóstico de la situación problemática.</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Revisión y elaboración del Marco Teórico.</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Ejecución de actividades asignadas en el área administrativa.</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Registro semanal de actividades realizadas.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Redacción de conclusiones y recomendaciones.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033" w:type="dxa"/>
            <w:shd w:val="clear" w:color="auto" w:fill="FFFFFF"/>
          </w:tcPr>
          <w:p>
            <w:pPr>
              <w:spacing w:before="60" w:after="60" w:line="240" w:lineRule="auto"/>
              <w:jc w:val="both"/>
            </w:pPr>
            <w:r>
              <w:rPr>
                <w:rFonts w:ascii="Times New Roman" w:hAnsi="Times New Roman"/>
                <w:b w:val="0"/>
                <w:color w:val="000000"/>
                <w:sz w:val="20"/>
              </w:rPr>
              <w:t>Revisión final y presentación del informe.</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p>
      <w:pPr>
        <w:sectPr>
          <w:footerReference w:type="default" r:id="rId35"/>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III</w:t>
      </w:r>
    </w:p>
    <w:p>
      <w:bookmarkStart w:id="bm_cap3" w:name="bm_cap3"/>
      <w:pPr>
        <w:spacing w:before="480"/>
        <w:jc w:val="center"/>
      </w:pPr>
      <w:r>
        <w:rPr>
          <w:rFonts w:ascii="Times New Roman" w:hAnsi="Times New Roman"/>
          <w:b/>
          <w:sz w:val="24"/>
        </w:rPr>
        <w:t>MARCO TEÓRICO</w:t>
      </w:r>
      <w:bookmarkEnd w:id="bm_cap3"/>
    </w:p>
    <w:p>
      <w:pPr>
        <w:sectPr>
          <w:footerReference w:type="default" r:id="rId36"/>
          <w:pgSz w:w="12240" w:h="15840"/>
          <w:pgMar w:top="1701" w:right="1701" w:bottom="1701" w:left="2268" w:header="720" w:footer="720" w:gutter="0"/>
          <w:cols w:space="720"/>
          <w:titlePg/>
          <w:docGrid w:linePitch="360"/>
        </w:sectPr>
      </w:pPr>
    </w:p>
    <w:p>
      <w:bookmarkStart w:id="bm_cap3_bases" w:name="bm_cap3_bases"/>
      <w:pPr>
        <w:spacing w:before="480" w:after="480" w:line="360" w:lineRule="auto"/>
        <w:jc w:val="left"/>
      </w:pPr>
      <w:r>
        <w:rPr>
          <w:rFonts w:ascii="Times New Roman" w:hAnsi="Times New Roman"/>
          <w:b/>
          <w:sz w:val="24"/>
        </w:rPr>
        <w:t>Control Administrativo</w:t>
      </w:r>
      <w:bookmarkEnd w:id="bm_cap3_bases"/>
    </w:p>
    <w:p>
      <w:pPr>
        <w:spacing w:line="360" w:lineRule="auto" w:after="0" w:before="0"/>
        <w:ind w:firstLine="709"/>
        <w:jc w:val="both"/>
      </w:pPr>
      <w:r>
        <w:rPr>
          <w:rFonts w:ascii="Times New Roman" w:hAnsi="Times New Roman"/>
          <w:i w:val="0"/>
          <w:sz w:val="24"/>
        </w:rPr>
        <w:t>El control administrativo constituye una de las funciones fundamentales del proceso administrativo y se define como el mecanismo mediante el cual la organización verifica que las actividades ejecutadas se correspondan con lo planificado, detectando desviaciones y aplicando las medidas correctivas necesarias. Robbins y Coulter (2010) señalan que el control eficaz no solo identifica fallas, sino que proporciona información oportuna para la toma de decisiones gerenciales, convirtiéndose en un instrumento de mejora continua y no únicamente de fiscalización.</w:t>
      </w:r>
    </w:p>
    <w:p>
      <w:pPr>
        <w:spacing w:line="360" w:lineRule="auto" w:after="0" w:before="0"/>
        <w:ind w:firstLine="709"/>
        <w:jc w:val="both"/>
      </w:pPr>
      <w:r>
        <w:rPr>
          <w:rFonts w:ascii="Times New Roman" w:hAnsi="Times New Roman"/>
          <w:i w:val="0"/>
          <w:sz w:val="24"/>
        </w:rPr>
        <w:t>En el contexto del Departamento de Administración de Ingeniería de Telecomunicaciones, C.A., el control administrativo se aplica sobre el ciclo de gestión de solicitudes de servicio, abarcando desde la recepción de la solicitud del suscriptor hasta el cierre definitivo del caso. La ausencia de mecanismos formales de control en este ciclo genera inconsistencias entre los departamentos involucrados y dificulta la evaluación del desempeño del proceso de atención.</w:t>
      </w:r>
    </w:p>
    <w:p>
      <w:pPr>
        <w:spacing w:line="240" w:lineRule="auto" w:before="720" w:after="240"/>
        <w:ind w:left="709" w:right="709"/>
        <w:jc w:val="both"/>
      </w:pPr>
      <w:r>
        <w:rPr>
          <w:rFonts w:ascii="Times New Roman" w:hAnsi="Times New Roman"/>
          <w:sz w:val="24"/>
        </w:rPr>
        <w:t>El control es el proceso de monitorear las actividades para asegurarse de que se lleven a cabo según lo planeado y para corregir cualquier desviación significativa. Los gerentes no pueden saber realmente si sus unidades están desempeñándose adecuadamente hasta que evalúan qué actividades se han llevado a cabo y comparan el desempeño real con el estándar deseado.</w:t>
      </w:r>
      <w:r>
        <w:rPr>
          <w:rFonts w:ascii="Times New Roman" w:hAnsi="Times New Roman"/>
          <w:sz w:val="24"/>
        </w:rPr>
        <w:t xml:space="preserve"> (Robbins y Coulter, 2010, p. 398)</w:t>
      </w:r>
    </w:p>
    <w:p>
      <w:pPr>
        <w:spacing w:line="360" w:lineRule="auto" w:after="0" w:before="0"/>
        <w:ind w:firstLine="709"/>
        <w:jc w:val="both"/>
      </w:pPr>
      <w:r>
        <w:rPr>
          <w:rFonts w:ascii="Times New Roman" w:hAnsi="Times New Roman"/>
          <w:i w:val="0"/>
          <w:sz w:val="24"/>
        </w:rPr>
        <w:t>El control administrativo, como lo señalan los autores referidos, no se limita a una función de fiscalización, sino que se constituye en un mecanismo de retroalimentación continua que permite a la organización detectar desviaciones a tiempo y ajustar sus procesos para garantizar la calidad del servicio prestado al suscriptor.</w:t>
      </w:r>
    </w:p>
    <w:p>
      <w:pPr>
        <w:spacing w:before="480" w:after="480" w:line="360" w:lineRule="auto"/>
        <w:jc w:val="left"/>
      </w:pPr>
      <w:r>
        <w:rPr>
          <w:rFonts w:ascii="Times New Roman" w:hAnsi="Times New Roman"/>
          <w:b/>
          <w:sz w:val="24"/>
        </w:rPr>
        <w:t>Gestión de Solicitudes de Servicio</w:t>
      </w:r>
    </w:p>
    <w:p>
      <w:pPr>
        <w:spacing w:line="360" w:lineRule="auto" w:after="0" w:before="0"/>
        <w:ind w:firstLine="709"/>
        <w:jc w:val="both"/>
      </w:pPr>
      <w:r>
        <w:rPr>
          <w:rFonts w:ascii="Times New Roman" w:hAnsi="Times New Roman"/>
          <w:i w:val="0"/>
          <w:sz w:val="24"/>
        </w:rPr>
        <w:t>La gestión de solicitudes de servicio comprende el conjunto de procedimientos administrativos orientados a recepcionar, registrar, procesar y dar seguimiento a los requerimientos presentados por los clientes o suscriptores de una organización. Zeithaml, Parasuraman y Berry (1993) establecen que la calidad del servicio percibida por el cliente está directamente vinculada a la capacidad de la organización para gestionar sus solicitudes de forma ágil, transparente y con comunicación fluida en cada etapa del proceso.</w:t>
      </w:r>
    </w:p>
    <w:p>
      <w:pPr>
        <w:spacing w:line="360" w:lineRule="auto" w:after="0" w:before="0"/>
        <w:ind w:firstLine="709"/>
        <w:jc w:val="both"/>
      </w:pPr>
      <w:r>
        <w:rPr>
          <w:rFonts w:ascii="Times New Roman" w:hAnsi="Times New Roman"/>
          <w:i w:val="0"/>
          <w:sz w:val="24"/>
        </w:rPr>
        <w:t>En empresas de telecomunicaciones como IDETEL, la gestión de solicitudes abarca dos categorías principales: las solicitudes de afiliación de nuevos suscriptores, que implican la coordinación entre las áreas comercial, técnica y administrativa; y las incidencias reportadas por suscriptores activos, que requieren diagnóstico, despacho de cuadrillas y cierre verificado del caso. La ausencia de un sistema unificado de seguimiento para ambas categorías genera retrasos y reprocesos que impactan directamente en la satisfacción del cliente.</w:t>
      </w:r>
    </w:p>
    <w:p>
      <w:pPr>
        <w:spacing w:before="480" w:after="480" w:line="360" w:lineRule="auto"/>
        <w:jc w:val="left"/>
      </w:pPr>
      <w:r>
        <w:rPr>
          <w:rFonts w:ascii="Times New Roman" w:hAnsi="Times New Roman"/>
          <w:b/>
          <w:sz w:val="24"/>
        </w:rPr>
        <w:t>Procesos Administrativos y Estandarización de Procedimientos</w:t>
      </w:r>
    </w:p>
    <w:p>
      <w:pPr>
        <w:spacing w:line="360" w:lineRule="auto" w:after="0" w:before="0"/>
        <w:ind w:firstLine="709"/>
        <w:jc w:val="both"/>
      </w:pPr>
      <w:r>
        <w:rPr>
          <w:rFonts w:ascii="Times New Roman" w:hAnsi="Times New Roman"/>
          <w:i w:val="0"/>
          <w:sz w:val="24"/>
        </w:rPr>
        <w:t>El proceso administrativo constituye el marco conceptual que rige el funcionamiento de las organizaciones modernas. Chiavenato (2006) lo describe como el conjunto secuencial e interrelacionado de funciones de planificación, organización, dirección y control, orientadas al logro eficiente de los objetivos organizacionales. La estandarización de los procedimientos dentro de este marco garantiza que las actividades se ejecuten de manera uniforme, reduciendo la variabilidad y los errores derivados de la discrecionalidad individual.</w:t>
      </w:r>
    </w:p>
    <w:p>
      <w:pPr>
        <w:spacing w:line="360" w:lineRule="auto" w:after="0" w:before="0"/>
        <w:ind w:firstLine="709"/>
        <w:jc w:val="both"/>
      </w:pPr>
      <w:r>
        <w:rPr>
          <w:rFonts w:ascii="Times New Roman" w:hAnsi="Times New Roman"/>
          <w:i w:val="0"/>
          <w:sz w:val="24"/>
        </w:rPr>
        <w:t>La formalización de los procedimientos mediante manuales, flujogramas y formatos estandarizados constituye una herramienta esencial para el control administrativo. Según Harrington (1993), un proceso estandarizado es medible, controlable y mejorable, condiciones que permiten a la organización identificar con precisión los puntos de falla y aplicar acciones correctivas focalizadas. En el caso de IDETEL, la ausencia de procedimientos escritos para la gestión de solicitudes es una de las causas raíz de las deficiencias identificadas.</w:t>
      </w:r>
    </w:p>
    <w:p>
      <w:pPr>
        <w:spacing w:before="480" w:after="480" w:line="360" w:lineRule="auto"/>
        <w:jc w:val="left"/>
      </w:pPr>
      <w:r>
        <w:rPr>
          <w:rFonts w:ascii="Times New Roman" w:hAnsi="Times New Roman"/>
          <w:b/>
          <w:sz w:val="24"/>
        </w:rPr>
        <w:t>Calidad del Servicio en Empresas de Telecomunicaciones</w:t>
      </w:r>
    </w:p>
    <w:p>
      <w:pPr>
        <w:spacing w:line="360" w:lineRule="auto" w:after="0" w:before="0"/>
        <w:ind w:firstLine="709"/>
        <w:jc w:val="both"/>
      </w:pPr>
      <w:r>
        <w:rPr>
          <w:rFonts w:ascii="Times New Roman" w:hAnsi="Times New Roman"/>
          <w:i w:val="0"/>
          <w:sz w:val="24"/>
        </w:rPr>
        <w:t>La calidad del servicio se define como el grado en que las características del servicio prestado satisfacen o superan las expectativas del cliente. Parasuraman, Zeithaml y Berry (1988) desarrollaron el modelo SERVQUAL, que identifica cinco dimensiones de la calidad del servicio: fiabilidad, capacidad de respuesta, seguridad, empatía y elementos tangibles. En el sector de telecomunicaciones, la fiabilidad y la capacidad de respuesta son las dimensiones con mayor peso en la percepción del cliente.</w:t>
      </w:r>
    </w:p>
    <w:p>
      <w:pPr>
        <w:spacing w:line="360" w:lineRule="auto" w:after="0" w:before="0"/>
        <w:ind w:firstLine="709"/>
        <w:jc w:val="both"/>
      </w:pPr>
      <w:r>
        <w:rPr>
          <w:rFonts w:ascii="Times New Roman" w:hAnsi="Times New Roman"/>
          <w:i w:val="0"/>
          <w:sz w:val="24"/>
        </w:rPr>
        <w:t>Las deficiencias en el control administrativo del proceso de solicitudes de servicio impactan directamente sobre la fiabilidad y la capacidad de respuesta de IDETEL. Cuando una solicitud no es gestionada dentro de los tiempos establecidos o su estatus no puede ser verificado en tiempo real, el cliente percibe una falla en la calidad del servicio que deteriora su confianza en la organización y puede derivar en la cancelación del contrato o en la difusión de experiencias negativas.</w:t>
      </w:r>
    </w:p>
    <w:p>
      <w:pPr>
        <w:spacing w:before="480" w:after="480" w:line="360" w:lineRule="auto"/>
        <w:jc w:val="left"/>
      </w:pPr>
      <w:r>
        <w:rPr>
          <w:rFonts w:ascii="Times New Roman" w:hAnsi="Times New Roman"/>
          <w:b/>
          <w:sz w:val="24"/>
        </w:rPr>
        <w:t>Sistemas de Información para el Control Administrativo</w:t>
      </w:r>
    </w:p>
    <w:p>
      <w:pPr>
        <w:spacing w:line="360" w:lineRule="auto" w:after="0" w:before="0"/>
        <w:ind w:firstLine="709"/>
        <w:jc w:val="both"/>
      </w:pPr>
      <w:r>
        <w:rPr>
          <w:rFonts w:ascii="Times New Roman" w:hAnsi="Times New Roman"/>
          <w:i w:val="0"/>
          <w:sz w:val="24"/>
        </w:rPr>
        <w:t>Un sistema de información constituye un conjunto organizado de recursos tecnológicos y procedimentales orientados a la captura, almacenamiento, procesamiento y distribución de datos con el propósito de apoyar la toma de decisiones. Laudon y Laudon (2016) distinguen los sistemas de procesamiento de transacciones como la categoría que registra y gestiona las operaciones rutinarias de la organización, siendo esta la tipología más pertinente para el control de solicitudes de servicio en una empresa de telecomunicaciones.</w:t>
      </w:r>
    </w:p>
    <w:p>
      <w:pPr>
        <w:spacing w:line="360" w:lineRule="auto" w:after="0" w:before="0"/>
        <w:ind w:firstLine="709"/>
        <w:jc w:val="both"/>
      </w:pPr>
      <w:r>
        <w:rPr>
          <w:rFonts w:ascii="Times New Roman" w:hAnsi="Times New Roman"/>
          <w:i w:val="0"/>
          <w:sz w:val="24"/>
        </w:rPr>
        <w:t>La implementación de un sistema de tickets o plataforma de seguimiento de solicitudes en IDETEL permitiría centralizar el registro de cada caso, asignar responsables, definir tiempos de atención y generar alertas ante incumplimientos. Esta herramienta transformaría el control administrativo de reactivo a proactivo, dotando a la supervisión de información en tiempo real para la toma de decisiones y la evaluación continua del desempeño del proceso.</w:t>
      </w:r>
    </w:p>
    <w:p>
      <w:pPr>
        <w:spacing w:before="480" w:after="480" w:line="360" w:lineRule="auto"/>
        <w:jc w:val="left"/>
      </w:pPr>
      <w:r>
        <w:rPr>
          <w:rFonts w:ascii="Times New Roman" w:hAnsi="Times New Roman"/>
          <w:b/>
          <w:sz w:val="24"/>
        </w:rPr>
        <w:t>Proyecto Factible como Modalidad de Investigación</w:t>
      </w:r>
    </w:p>
    <w:p>
      <w:pPr>
        <w:spacing w:line="360" w:lineRule="auto" w:after="0" w:before="0"/>
        <w:ind w:firstLine="709"/>
        <w:jc w:val="both"/>
      </w:pPr>
      <w:r>
        <w:rPr>
          <w:rFonts w:ascii="Times New Roman" w:hAnsi="Times New Roman"/>
          <w:i w:val="0"/>
          <w:sz w:val="24"/>
        </w:rPr>
        <w:t>La Universidad Pedagógica Experimental Libertador (UPEL, 2016) define el proyecto factible como la investigación, elaboración y desarrollo de una propuesta de un modelo operativo viable para solucionar problemas, requerimientos o necesidades de organizaciones o grupos sociales. Esta modalidad exige un diagnóstico de campo que evidencie la situación deficitaria y la comprobación de la viabilidad técnica y operativa de la solución planteada.</w:t>
      </w:r>
    </w:p>
    <w:p>
      <w:pPr>
        <w:spacing w:line="360" w:lineRule="auto" w:after="0" w:before="0"/>
        <w:ind w:firstLine="709"/>
        <w:jc w:val="both"/>
      </w:pPr>
      <w:r>
        <w:rPr>
          <w:rFonts w:ascii="Times New Roman" w:hAnsi="Times New Roman"/>
          <w:i w:val="0"/>
          <w:sz w:val="24"/>
        </w:rPr>
        <w:t>Arias (2012) señala que el proyecto factible avanza hasta proponer y en muchos casos desarrollar la solución, demostrando su aplicabilidad en el contexto real. El presente trabajo se enmarca en esta modalidad al partir de la evaluación del control administrativo de IDETEL para proponer mejoras procedimentales cuya implementación es viable dentro de la estructura organizativa y los recursos disponibles de la empresa.</w:t>
      </w:r>
    </w:p>
    <w:p>
      <w:pPr>
        <w:sectPr>
          <w:footerReference w:type="default" r:id="rId37"/>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38"/>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Chiavenato, I. (2006). Introducción a la teoría general de la administración (7ma ed.). McGraw-Hill, México.</w:t>
      </w:r>
    </w:p>
    <w:p>
      <w:pPr>
        <w:spacing w:line="240" w:lineRule="auto" w:after="480" w:before="0"/>
        <w:ind w:left="425" w:hanging="425"/>
        <w:jc w:val="both"/>
      </w:pPr>
      <w:r>
        <w:rPr>
          <w:rFonts w:ascii="Times New Roman" w:hAnsi="Times New Roman"/>
          <w:sz w:val="24"/>
        </w:rPr>
        <w:t>Harrington, H. J. (1993). Mejoramiento de los procesos de la empresa. McGraw-Hill, Colombia.</w:t>
      </w:r>
    </w:p>
    <w:p>
      <w:pPr>
        <w:spacing w:line="240" w:lineRule="auto" w:after="480" w:before="0"/>
        <w:ind w:left="425" w:hanging="425"/>
        <w:jc w:val="both"/>
      </w:pPr>
      <w:r>
        <w:rPr>
          <w:rFonts w:ascii="Times New Roman" w:hAnsi="Times New Roman"/>
          <w:sz w:val="24"/>
        </w:rPr>
        <w:t>Laudon, K., y Laudon, J. (2016). Sistemas de información gerencial (14va ed.). Pearson Educación, México.</w:t>
      </w:r>
    </w:p>
    <w:p>
      <w:pPr>
        <w:spacing w:line="240" w:lineRule="auto" w:after="480" w:before="0"/>
        <w:ind w:left="425" w:hanging="425"/>
        <w:jc w:val="both"/>
      </w:pPr>
      <w:r>
        <w:rPr>
          <w:rFonts w:ascii="Times New Roman" w:hAnsi="Times New Roman"/>
          <w:sz w:val="24"/>
        </w:rPr>
        <w:t>Parasuraman, A., Zeithaml, V., y Berry, L. (1988). SERVQUAL: A multiple-item scale for measuring consumer perceptions of service quality. Journal of Retailing, 64(1), 12-40.</w:t>
      </w:r>
    </w:p>
    <w:p>
      <w:pPr>
        <w:spacing w:line="240" w:lineRule="auto" w:after="480" w:before="0"/>
        <w:ind w:left="425" w:hanging="425"/>
        <w:jc w:val="both"/>
      </w:pPr>
      <w:r>
        <w:rPr>
          <w:rFonts w:ascii="Times New Roman" w:hAnsi="Times New Roman"/>
          <w:sz w:val="24"/>
        </w:rPr>
        <w:t>Robbins, S., y Coulter, M. (2010). Administración (10ma ed.). Pearson Educación, México.</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pacing w:line="240" w:lineRule="auto" w:after="480" w:before="0"/>
        <w:ind w:left="425" w:hanging="425"/>
        <w:jc w:val="both"/>
      </w:pPr>
      <w:r>
        <w:rPr>
          <w:rFonts w:ascii="Times New Roman" w:hAnsi="Times New Roman"/>
          <w:sz w:val="24"/>
        </w:rPr>
        <w:t>Zeithaml, V., Parasuraman, A., y Berry, L. (1993). Calidad total en la gestión de servicios. Díaz de Santos, España.</w:t>
      </w:r>
    </w:p>
    <w:p>
      <w:pPr>
        <w:sectPr>
          <w:footerReference w:type="default" r:id="rId39"/>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p>
      <w:pPr>
        <w:sectPr>
          <w:footerReference w:type="default" r:id="rId40"/>
          <w:pgSz w:w="12240" w:h="15840"/>
          <w:pgMar w:top="1701" w:right="1701" w:bottom="1701" w:left="2268" w:header="720" w:footer="720" w:gutter="0"/>
          <w:cols w:space="720"/>
          <w:titlePg/>
          <w:docGrid w:linePitch="360"/>
        </w:sectPr>
      </w:pPr>
    </w:p>
    <w:p>
      <w:bookmarkStart w:id="bm_anexoA" w:name="bm_anexoA"/>
      <w:pPr>
        <w:spacing w:before="0" w:after="480"/>
        <w:jc w:val="center"/>
      </w:pPr>
      <w:bookmarkEnd w:id="bm_anexoA"/>
      <w:r>
        <w:rPr>
          <w:rFonts w:ascii="Times New Roman" w:hAnsi="Times New Roman"/>
          <w:b/>
          <w:sz w:val="24"/>
        </w:rPr>
        <w:t>ANEXO A</w:t>
      </w:r>
    </w:p>
    <w:p>
      <w:pPr>
        <w:spacing w:before="240" w:after="480"/>
        <w:jc w:val="center"/>
      </w:pPr>
      <w:r>
        <w:rPr>
          <w:rFonts w:ascii="Times New Roman" w:hAnsi="Times New Roman"/>
          <w:b/>
          <w:sz w:val="24"/>
        </w:rPr>
        <w:t>[Flujograma del proceso de gestión de solicitudes de servicios]</w:t>
      </w:r>
    </w:p>
    <w:p>
      <w:pPr>
        <w:jc w:val="center"/>
      </w:pPr>
      <w:r>
        <w:drawing>
          <wp:inline xmlns:a="http://schemas.openxmlformats.org/drawingml/2006/main" xmlns:pic="http://schemas.openxmlformats.org/drawingml/2006/picture">
            <wp:extent cx="5040000" cy="22990909"/>
            <wp:docPr id="5" name="Picture 5"/>
            <wp:cNvGraphicFramePr>
              <a:graphicFrameLocks noChangeAspect="1"/>
            </wp:cNvGraphicFramePr>
            <a:graphic>
              <a:graphicData uri="http://schemas.openxmlformats.org/drawingml/2006/picture">
                <pic:pic>
                  <pic:nvPicPr>
                    <pic:cNvPr id="0" name="4.png"/>
                    <pic:cNvPicPr/>
                  </pic:nvPicPr>
                  <pic:blipFill>
                    <a:blip r:embed="rId13"/>
                    <a:stretch>
                      <a:fillRect/>
                    </a:stretch>
                  </pic:blipFill>
                  <pic:spPr>
                    <a:xfrm>
                      <a:off x="0" y="0"/>
                      <a:ext cx="5040000" cy="22990909"/>
                    </a:xfrm>
                    <a:prstGeom prst="rect"/>
                  </pic:spPr>
                </pic:pic>
              </a:graphicData>
            </a:graphic>
          </wp:inline>
        </w:drawing>
      </w:r>
    </w:p>
    <w:sectPr w:rsidR="00FC693F" w:rsidRPr="0006063C" w:rsidSect="00034616">
      <w:footerReference w:type="default" r:id="rId41"/>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footer" Target="footer16.xml"/><Relationship Id="rId30" Type="http://schemas.openxmlformats.org/officeDocument/2006/relationships/footer" Target="footer17.xml"/><Relationship Id="rId31" Type="http://schemas.openxmlformats.org/officeDocument/2006/relationships/footer" Target="footer18.xml"/><Relationship Id="rId32" Type="http://schemas.openxmlformats.org/officeDocument/2006/relationships/footer" Target="footer19.xml"/><Relationship Id="rId33" Type="http://schemas.openxmlformats.org/officeDocument/2006/relationships/footer" Target="footer20.xml"/><Relationship Id="rId34" Type="http://schemas.openxmlformats.org/officeDocument/2006/relationships/footer" Target="footer21.xml"/><Relationship Id="rId35" Type="http://schemas.openxmlformats.org/officeDocument/2006/relationships/footer" Target="footer22.xml"/><Relationship Id="rId36" Type="http://schemas.openxmlformats.org/officeDocument/2006/relationships/footer" Target="footer23.xml"/><Relationship Id="rId37" Type="http://schemas.openxmlformats.org/officeDocument/2006/relationships/footer" Target="footer24.xml"/><Relationship Id="rId38" Type="http://schemas.openxmlformats.org/officeDocument/2006/relationships/footer" Target="footer25.xml"/><Relationship Id="rId39" Type="http://schemas.openxmlformats.org/officeDocument/2006/relationships/footer" Target="footer26.xml"/><Relationship Id="rId40" Type="http://schemas.openxmlformats.org/officeDocument/2006/relationships/footer" Target="footer27.xml"/><Relationship Id="rId41"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