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el diagnóstico de las deficiencias del control administrativo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facturación, actualización de registros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documentos administrativos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registros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Contrastar solicitudes e incidencias para detectar retrasos y datos faltantes.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históricos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las causas asociadas con procedimiento, comunicación, registro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las causas con las principales manifestaciones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Iniciar la redacción del Capítulo III sobre control administrativo y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Bibliografía,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Diagnóstico situacional, diagrama de Ishikawa y avance del marco teórico.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demostró capacidad de análisis al identificar y organizar las causas asociadas con las deficiencias del control administrativo, desarrollando de forma adecuada el diagrama de Ishikawa y relacionándolo con los hallazgos obtenidos.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