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el impacto de las deficiencias detectadas y consolidar las bases teóricas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conciliación y registro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preparación y verificación de documentos de facturación.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incidencias y solicitudes pendientes para comparar tiempos de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impacto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los retrasos con problemas de trazabilidad y atención al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matriz de análisis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y revisar las bases teóricas y referencias utilizadas.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Análisis de impacto y Capítulo III en versión preliminar.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las actividades asignadas con responsabilidad, mostrando capacidad para relacionar las deficiencias identificadas con sus efectos sobre la trazabilidad y atención de las solicitudes, manteniendo además un buen desempeño en las labores administrativas.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