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8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20 al 24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Diseñar los formatos estandarizados y el procedimiento de control que acompaña al flujo propuesto.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en facturación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Colaborar en la facturación y verificación de documentos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facturas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Seguimiento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Actualizar información de casos administrativos y revisar pendientes.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casos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afiliaciones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el registro y seguimiento de nuevas afiliaciones.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 de incidencias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Diseñar un formato uniforme para registrar incidencias y su estatus.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Procedimiento escrito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Redactar las reglas básicas de uso de los formatos y actualización del flujo.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Formatos de afiliación e incidencias y procedimiento escrito en versión preliminar.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desarrolló adecuadamente los formatos de afiliación e incidencias, demostrando orden y criterio administrativo en la selección de los datos necesarios para facilitar el registro, actualización y seguimiento de las solicitudes.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