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23"/>
          <w:pgSz w:w="12240" w:h="15840"/>
          <w:pgMar w:top="1701" w:right="1701" w:bottom="1701" w:left="2268" w:header="720" w:footer="720" w:gutter="0"/>
          <w:cols w:space="720"/>
          <w:docGrid w:linePitch="360"/>
          <w:pgNumType w:fmt="lowerRoman" w:start="1"/>
        </w:sectPr>
      </w:pPr>
    </w:p>
    <w:p>
      <w:bookmarkStart w:id="bm_contraportada"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bm_contraportada"/>
    </w:p>
    <w:p>
      <w:pPr>
        <w:spacing w:line="276" w:lineRule="auto" w:before="128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800" w:after="0"/>
        <w:jc w:val="center"/>
      </w:pPr>
      <w:r>
        <w:rPr>
          <w:rFonts w:ascii="Times New Roman" w:hAnsi="Times New Roman"/>
          <w:sz w:val="24"/>
        </w:rPr>
        <w:t>El Tigre, agosto de 2026</w:t>
      </w:r>
    </w:p>
    <w:p>
      <w:pPr>
        <w:sectPr>
          <w:footerReference w:type="default" r:id="rId24"/>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25"/>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26"/>
          <w:pgSz w:w="12240" w:h="15840"/>
          <w:pgMar w:top="1701" w:right="1701" w:bottom="1701" w:left="2268" w:header="720" w:footer="720" w:gutter="0"/>
          <w:cols w:space="720"/>
          <w:docGrid w:linePitch="360"/>
          <w:pgNumType w:fmt="lowerRoman"/>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27"/>
          <w:pgSz w:w="12240" w:h="15840"/>
          <w:pgMar w:top="1701" w:right="1701" w:bottom="1701" w:left="2268" w:header="720" w:footer="720" w:gutter="0"/>
          <w:cols w:space="720"/>
          <w:docGrid w:linePitch="360"/>
          <w:pgNumType w:fmt="lowerRoman"/>
        </w:sectPr>
      </w:pPr>
    </w:p>
    <w:p>
      <w:pPr>
        <w:spacing w:line="360" w:lineRule="auto" w:after="0" w:before="0"/>
        <w:ind w:firstLine="709"/>
        <w:jc w:val="both"/>
      </w:pPr>
      <w:r>
        <w:rPr>
          <w:rFonts w:ascii="Times New Roman" w:hAnsi="Times New Roman"/>
          <w:i w:val="0"/>
          <w:sz w:val="24"/>
        </w:rPr>
        <w:t>Al Instituto Universitario de Tecnología “Elías Calixto Pompa” (IUTECP), por la formación recibida; a Ingeniería de Telecomunicaciones, C.A. (IDETEL), por permitirme desarrollar las pasantías y conocer de manera directa sus procesos de atención y administración; a mis tutores, por sus orientaciones y observaciones durante la elaboración del informe; y al personal de la empresa, por su disposición, acompañamiento y colaboración durante las actividades realizadas.</w:t>
      </w:r>
    </w:p>
    <w:p>
      <w:pPr>
        <w:sectPr>
          <w:footerReference w:type="default" r:id="rId28"/>
          <w:type w:val="continuous"/>
          <w:pgSz w:w="12240" w:h="15840"/>
          <w:pgMar w:top="1701" w:right="1701" w:bottom="1701" w:left="2268" w:header="720" w:footer="720" w:gutter="0"/>
          <w:cols w:space="720"/>
          <w:docGrid w:linePitch="360"/>
          <w:pgNumType w:fmt="lowerRoman"/>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29"/>
          <w:pgSz w:w="12240" w:h="15840"/>
          <w:pgMar w:top="1701" w:right="1701" w:bottom="1701" w:left="2268" w:header="720" w:footer="720" w:gutter="0"/>
          <w:cols w:space="720"/>
          <w:docGrid w:linePitch="360"/>
          <w:pgNumType w:fmt="lowerRoman"/>
        </w:sectPr>
      </w:pPr>
    </w:p>
    <w:p>
      <w:pPr>
        <w:spacing w:line="360" w:lineRule="auto" w:after="0" w:before="0"/>
        <w:ind w:firstLine="709"/>
        <w:jc w:val="both"/>
      </w:pPr>
      <w:r>
        <w:rPr>
          <w:rFonts w:ascii="Times New Roman" w:hAnsi="Times New Roman"/>
          <w:i w:val="0"/>
          <w:sz w:val="24"/>
        </w:rPr>
        <w:t>A mi familia, por su apoyo constante, comprensión y motivación durante mi formación académica y en el desarrollo de esta etapa profesional.</w:t>
      </w:r>
    </w:p>
    <w:p>
      <w:pPr>
        <w:sectPr>
          <w:footerReference w:type="default" r:id="rId30"/>
          <w:type w:val="continuous"/>
          <w:pgSz w:w="12240" w:h="15840"/>
          <w:pgMar w:top="1701" w:right="1701" w:bottom="1701" w:left="2268" w:header="720" w:footer="720" w:gutter="0"/>
          <w:cols w:space="720"/>
          <w:docGrid w:linePitch="360"/>
          <w:pgNumType w:fmt="lowerRoman"/>
        </w:sectPr>
      </w:pPr>
    </w:p>
    <w:p>
      <w:bookmarkStart w:id="bm_indice" w:name="bm_indice"/>
      <w:pPr>
        <w:spacing w:before="1140" w:after="480"/>
        <w:jc w:val="center"/>
      </w:pPr>
      <w:r>
        <w:rPr>
          <w:rFonts w:ascii="Times New Roman" w:hAnsi="Times New Roman"/>
          <w:b/>
          <w:sz w:val="24"/>
        </w:rPr>
        <w:t>ÍNDICE DE CONTENIDO</w:t>
      </w:r>
      <w:bookmarkEnd w:id="bm_indice"/>
    </w:p>
    <w:p>
      <w:pPr>
        <w:sectPr>
          <w:footerReference w:type="default" r:id="rId31"/>
          <w:pgSz w:w="12240" w:h="15840"/>
          <w:pgMar w:top="1701" w:right="1701" w:bottom="1701" w:left="2268" w:header="720" w:footer="720" w:gutter="0"/>
          <w:cols w:space="720"/>
          <w:docGrid w:linePitch="360"/>
          <w:pgNumType w:fmt="lowerRoman"/>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t>ii</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t>iii</w:t>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t>iv</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t>v</w:t>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t>vi</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ix</w:t>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x</w:t>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t>xi</w:t>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t>xii</w:t>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32"/>
          <w:type w:val="continuous"/>
          <w:pgSz w:w="12240" w:h="15840"/>
          <w:pgMar w:top="1701" w:right="1701" w:bottom="1701" w:left="2268" w:header="720" w:footer="720" w:gutter="0"/>
          <w:cols w:space="720"/>
          <w:docGrid w:linePitch="360"/>
          <w:pgNumType w:fmt="lowerRoman"/>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33"/>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34"/>
          <w:type w:val="continuous"/>
          <w:pgSz w:w="12240" w:h="15840"/>
          <w:pgMar w:top="1701" w:right="1701" w:bottom="1701" w:left="2268" w:header="720" w:footer="720" w:gutter="0"/>
          <w:cols w:space="720"/>
          <w:docGrid w:linePitch="360"/>
          <w:pgNumType w:fmt="lowerRoman"/>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35"/>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Ingeniería de Telecomunicaciones, C.A.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Administración.</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36"/>
          <w:type w:val="continuous"/>
          <w:pgSz w:w="12240" w:h="15840"/>
          <w:pgMar w:top="1701" w:right="1701" w:bottom="1701" w:left="2268" w:header="720" w:footer="720" w:gutter="0"/>
          <w:cols w:space="720"/>
          <w:docGrid w:linePitch="360"/>
          <w:pgNumType w:fmt="lowerRoman"/>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37"/>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Diagrama de Ishikawa del control de solicitudes</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Flujograma AS-IS de afiliaciones e incidencias</w:t>
        <w:tab/>
      </w:r>
      <w:r>
        <w:rPr>
          <w:rFonts w:ascii="Times New Roman" w:hAnsi="Times New Roman"/>
          <w:b w:val="0"/>
          <w:sz w:val="24"/>
        </w:rPr>
        <w:fldChar w:fldCharType="begin"/>
        <w:instrText xml:space="preserve"> PAGEREF bm_anexoC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D</w:t>
        <w:tab/>
        <w:t>Swimlane interdepartamental de gestión de solicitudes</w:t>
        <w:tab/>
      </w:r>
      <w:r>
        <w:rPr>
          <w:rFonts w:ascii="Times New Roman" w:hAnsi="Times New Roman"/>
          <w:b w:val="0"/>
          <w:sz w:val="24"/>
        </w:rPr>
        <w:fldChar w:fldCharType="begin"/>
        <w:instrText xml:space="preserve"> PAGEREF bm_anexoD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E</w:t>
        <w:tab/>
        <w:t>Estados de una solicitud de servicio</w:t>
        <w:tab/>
      </w:r>
      <w:r>
        <w:rPr>
          <w:rFonts w:ascii="Times New Roman" w:hAnsi="Times New Roman"/>
          <w:b w:val="0"/>
          <w:sz w:val="24"/>
        </w:rPr>
        <w:fldChar w:fldCharType="begin"/>
        <w:instrText xml:space="preserve"> PAGEREF bm_anexoE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F</w:t>
        <w:tab/>
        <w:t>Comunicación interdepartamental</w:t>
        <w:tab/>
      </w:r>
      <w:r>
        <w:rPr>
          <w:rFonts w:ascii="Times New Roman" w:hAnsi="Times New Roman"/>
          <w:b w:val="0"/>
          <w:sz w:val="24"/>
        </w:rPr>
        <w:fldChar w:fldCharType="begin"/>
        <w:instrText xml:space="preserve"> PAGEREF bm_anexoF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G</w:t>
        <w:tab/>
        <w:t>Comparación AS-IS y TO-BE del control de solicitudes</w:t>
        <w:tab/>
      </w:r>
      <w:r>
        <w:rPr>
          <w:rFonts w:ascii="Times New Roman" w:hAnsi="Times New Roman"/>
          <w:b w:val="0"/>
          <w:sz w:val="24"/>
        </w:rPr>
        <w:fldChar w:fldCharType="begin"/>
        <w:instrText xml:space="preserve"> PAGEREF bm_anexoG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H</w:t>
        <w:tab/>
        <w:t>Diagrama de Ishikawa del control y trazabilidad de las solicitudes de servicio</w:t>
        <w:tab/>
      </w:r>
      <w:r>
        <w:rPr>
          <w:rFonts w:ascii="Times New Roman" w:hAnsi="Times New Roman"/>
          <w:b w:val="0"/>
          <w:sz w:val="24"/>
        </w:rPr>
        <w:fldChar w:fldCharType="begin"/>
        <w:instrText xml:space="preserve"> PAGEREF bm_anexoH \h </w:instrText>
        <w:fldChar w:fldCharType="separate"/>
        <w:t>?</w:t>
        <w:fldChar w:fldCharType="end"/>
      </w:r>
    </w:p>
    <w:p>
      <w:pPr>
        <w:sectPr>
          <w:footerReference w:type="default" r:id="rId38"/>
          <w:type w:val="continuous"/>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pPr>
    </w:p>
    <w:p>
      <w:pPr>
        <w:spacing w:line="240" w:lineRule="auto" w:after="12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40" w:lineRule="auto" w:after="12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agosto de 2026</w:t>
      </w:r>
    </w:p>
    <w:p>
      <w:bookmarkStart w:id="bm_resumen" w:name="bm_resumen"/>
      <w:pPr>
        <w:spacing w:line="240" w:lineRule="auto" w:before="120" w:after="120"/>
        <w:jc w:val="center"/>
      </w:pPr>
      <w:r>
        <w:rPr>
          <w:rFonts w:ascii="Times New Roman" w:hAnsi="Times New Roman"/>
          <w:b/>
          <w:sz w:val="24"/>
        </w:rPr>
        <w:t>RESUMEN</w:t>
      </w:r>
      <w:bookmarkEnd w:id="bm_resumen"/>
    </w:p>
    <w:p>
      <w:pPr>
        <w:sectPr>
          <w:footerReference w:type="default" r:id="rId39"/>
          <w:pgSz w:w="12240" w:h="15840"/>
          <w:pgMar w:top="1701" w:right="1701" w:bottom="1701" w:left="2268" w:header="720" w:footer="720" w:gutter="0"/>
          <w:cols w:space="720"/>
          <w:docGrid w:linePitch="360"/>
          <w:pgNumType w:fmt="lowerRoman"/>
        </w:sectPr>
      </w:pPr>
    </w:p>
    <w:p>
      <w:pPr>
        <w:spacing w:line="240" w:lineRule="auto" w:before="0" w:after="0"/>
        <w:ind w:firstLine="709"/>
        <w:jc w:val="both"/>
      </w:pPr>
      <w:r>
        <w:rPr>
          <w:rFonts w:ascii="Times New Roman" w:hAnsi="Times New Roman"/>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de manera oportuna los responsables, tiempos de respuesta y estatus de cada caso. El objetivo general fue evaluar el control administrativo aplicado a la gestión de solicitudes de servicios de telecomunicaciones, con el propósito de identificar sus debilidades y formular mejoras procedimentales. Para ello se realizaron observaciones directas, revisión de registros, entrevistas estructuradas al personal y un diagrama de causa-efecto para organizar los factores vinculados con las fallas detectadas. A partir de los hallazgos se formularon mejoras orientadas a establecer un flujo estandarizado, definir responsables por etapa, utilizar formatos uniformes y aplicar indicadores básicos para el seguimiento de las solicitudes. Como resultado, se determinó que la formalización del recorrido y la centralización de la información pueden facilitar la trazabilidad y reducir los reprocesos administrativos. Se concluye que el fortalecimiento del control depende principalmente de establecer criterios comunes de registro, actualización y cierre de los casos. Se recomienda implementar progresivamente el procedimiento propuesto, comunicarlo al personal involucrado y revisar periódicamente los tiempos de respuesta y solicitudes pendientes para detectar desviaciones y oportunidades de mejora.</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control administrativo, solicitudes de servicio, trazabilidad, telecomunicaciones, pasantías</w:t>
      </w:r>
    </w:p>
    <w:p>
      <w:pPr>
        <w:sectPr>
          <w:footerReference w:type="default" r:id="rId40"/>
          <w:type w:val="continuous"/>
          <w:pgSz w:w="12240" w:h="15840"/>
          <w:pgMar w:top="1701" w:right="1701" w:bottom="1701" w:left="2268" w:header="720" w:footer="720" w:gutter="0"/>
          <w:cols w:space="720"/>
          <w:docGrid w:linePitch="360"/>
          <w:pgNumType w:fmt="lowerRoman"/>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41"/>
          <w:footerReference w:type="first" r:id="rId42"/>
          <w:pgSz w:w="12240" w:h="15840"/>
          <w:pgMar w:top="1701" w:right="1701" w:bottom="1701" w:left="2268" w:header="720" w:footer="720" w:gutter="0"/>
          <w:cols w:space="720"/>
          <w:titlePg/>
          <w:docGrid w:linePitch="360"/>
          <w:pgNumType w:fmt="decimal" w:start="1"/>
        </w:sectPr>
      </w:pPr>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43"/>
          <w:footerReference w:type="first" r:id="rId44"/>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45"/>
          <w:footerReference w:type="first" r:id="rId46"/>
          <w:pgSz w:w="12240" w:h="15840"/>
          <w:pgMar w:top="1701" w:right="1701" w:bottom="1701" w:left="2268" w:header="720" w:footer="720" w:gutter="0"/>
          <w:cols w:space="720"/>
          <w:titlePg/>
          <w:docGrid w:linePitch="360"/>
          <w:pgNumType w:fmt="decimal"/>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pPr>
        <w:spacing w:before="480"/>
        <w:jc w:val="center"/>
      </w:pPr>
      <w:r>
        <w:drawing>
          <wp:inline xmlns:a="http://schemas.openxmlformats.org/drawingml/2006/main" xmlns:pic="http://schemas.openxmlformats.org/drawingml/2006/picture">
            <wp:extent cx="1512000" cy="1512000"/>
            <wp:docPr id="3" name="Picture 3"/>
            <wp:cNvGraphicFramePr>
              <a:graphicFrameLocks noChangeAspect="1"/>
            </wp:cNvGraphicFramePr>
            <a:graphic>
              <a:graphicData uri="http://schemas.openxmlformats.org/drawingml/2006/picture">
                <pic:pic>
                  <pic:nvPicPr>
                    <pic:cNvPr id="0" name="logo.jpg"/>
                    <pic:cNvPicPr/>
                  </pic:nvPicPr>
                  <pic:blipFill>
                    <a:blip r:embed="rId11"/>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Ingeniería de Telecomunicaciones, C.A.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Ingeniería de Telecomunicaciones, C.A. (2026).</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1800000" cy="1125000"/>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Ingeniería de Telecomunicaciones, C.A.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1847904"/>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Ingeniería de Telecomunicaciones, C.A.</w:t>
      </w:r>
      <w:bookmarkEnd w:id="bm_grafico3"/>
    </w:p>
    <w:p>
      <w:pPr>
        <w:spacing w:before="480"/>
        <w:jc w:val="center"/>
      </w:pPr>
      <w:r>
        <w:drawing>
          <wp:inline xmlns:a="http://schemas.openxmlformats.org/drawingml/2006/main" xmlns:pic="http://schemas.openxmlformats.org/drawingml/2006/picture">
            <wp:extent cx="4320000" cy="2680292"/>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4320000" cy="2680292"/>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Administración.</w:t>
      </w:r>
      <w:bookmarkEnd w:id="bm_grafico4"/>
    </w:p>
    <w:p>
      <w:bookmarkStart w:id="bm_cap1_departamento" w:name="bm_cap1_departamento"/>
      <w:pPr>
        <w:spacing w:before="480" w:after="480" w:line="360" w:lineRule="auto"/>
        <w:jc w:val="left"/>
      </w:pPr>
      <w:r>
        <w:rPr>
          <w:rFonts w:ascii="Times New Roman" w:hAnsi="Times New Roman"/>
          <w:b/>
          <w:sz w:val="24"/>
        </w:rPr>
        <w:t>Descripción del departamento donde realizó la pasantía</w:t>
      </w:r>
      <w:bookmarkEnd w:id="bm_cap1_departamento"/>
    </w:p>
    <w:p>
      <w:pPr>
        <w:spacing w:line="360" w:lineRule="auto" w:after="0" w:before="0"/>
        <w:ind w:firstLine="709"/>
        <w:jc w:val="both"/>
      </w:pPr>
      <w:r>
        <w:rPr>
          <w:rFonts w:ascii="Times New Roman" w:hAnsi="Times New Roman"/>
          <w:i w:val="0"/>
          <w:sz w:val="24"/>
        </w:rPr>
        <w:t>La pasantía se realizó en la Supervisión de Administración, donde se reconocen las funciones de Supervisión de Administración, Contabilidad y Tributos; Compras y Facturación; y Atención al Cliente. La práctica incluyó una rotación inicial por Atención al Cliente y una etapa posterior de apoyo en Administración, con actividades de registro de pagos, facturación, seguimiento de solicitudes y elaboración de reportes administrativos.</w:t>
      </w:r>
    </w:p>
    <w:p>
      <w:pPr>
        <w:sectPr>
          <w:footerReference w:type="default" r:id="rId47"/>
          <w:footerReference w:type="first" r:id="rId48"/>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49"/>
          <w:footerReference w:type="first" r:id="rId50"/>
          <w:pgSz w:w="12240" w:h="15840"/>
          <w:pgMar w:top="1701" w:right="1701" w:bottom="1701" w:left="2268" w:header="720" w:footer="720" w:gutter="0"/>
          <w:cols w:space="720"/>
          <w:titlePg/>
          <w:docGrid w:linePitch="360"/>
          <w:pgNumType w:fmt="decimal"/>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evaluarse el control administrativo aplicado a la gestión de solicitudes de servicios de telecomunicaciones en IDETEL para identificar sus principales debilidades y formular mejoras procedimentales que fortalezcan la trazabilidad y el seguimiento de los casos?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y causas presentes en los mecanismos de control de las solicitudes de servicio, considerando su incidencia en los tiempos de respuesta, la trazabilidad de los casos y la atención al suscriptor.</w:t>
      </w:r>
    </w:p>
    <w:p>
      <w:pPr>
        <w:spacing w:line="360" w:lineRule="auto"/>
        <w:ind w:firstLine="709"/>
        <w:jc w:val="both"/>
      </w:pPr>
      <w:r>
        <w:rPr>
          <w:rFonts w:ascii="Times New Roman" w:hAnsi="Times New Roman"/>
          <w:sz w:val="24"/>
        </w:rPr>
        <w:t xml:space="preserve">3. </w:t>
      </w:r>
      <w:r>
        <w:rPr>
          <w:rFonts w:ascii="Times New Roman" w:hAnsi="Times New Roman"/>
          <w:sz w:val="24"/>
        </w:rPr>
        <w:t>Formular mejoras al control administrativo de las solicitudes mediante un flujo estandarizado, formatos de registro, responsables por etapa e indicadores básicos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administrativo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recorrido de afiliaciones e incidencias desde Atención al Cliente hasta su seguimiento administrativo, describir las etapas y revisar la documentación utilizada.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registros de solicitudes, comprobantes y documentos internos.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y causas presentes en los mecanismos de control de las solicitudes de servicio, considerando su incidencia en los tiempos de respuesta, la trazabilidad de los casos y la atención al suscriptor.</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y causas que afectan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Aplicar entrevistas estructuradas al personal, revisar casos históricos, comparar tiempos de respuesta y elaborar un diagrama de Ishikawa con las causas identificadas.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estructurada, análisis documental, comparación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reportes internos,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mejoras al control administrativo de las solicitudes mediante un flujo estandarizado, formatos de registro, responsables por etapa e indicadores básicos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Mejoras al control administrativo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estandarizado, formatos de registro, responsables por etapa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herramientas de diagramación, hoja de cálculo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2683"/>
        <w:gridCol w:w="556"/>
        <w:gridCol w:w="556"/>
        <w:gridCol w:w="556"/>
        <w:gridCol w:w="556"/>
        <w:gridCol w:w="556"/>
        <w:gridCol w:w="556"/>
        <w:gridCol w:w="556"/>
        <w:gridCol w:w="556"/>
        <w:gridCol w:w="567"/>
        <w:gridCol w:w="567"/>
      </w:tblGrid>
      <w:tr>
        <w:tc>
          <w:tcPr>
            <w:tcW w:w="2683" w:type="dxa"/>
            <w:shd w:val="clear" w:color="auto" w:fill="4472C4"/>
          </w:tcPr>
          <w:p>
            <w:pPr>
              <w:spacing w:before="60" w:after="60" w:line="240" w:lineRule="auto"/>
              <w:jc w:val="center"/>
            </w:pPr>
            <w:r>
              <w:rPr>
                <w:rFonts w:ascii="Times New Roman" w:hAnsi="Times New Roman"/>
                <w:b/>
                <w:color w:val="FFFFFF"/>
                <w:sz w:val="20"/>
              </w:rPr>
              <w:t>Semana</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34"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268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67" w:type="dxa"/>
            <w:shd w:val="clear" w:color="auto" w:fill="4472C4"/>
          </w:tcPr>
          <w:p>
            <w:pPr>
              <w:spacing w:before="60" w:after="60" w:line="240" w:lineRule="auto"/>
              <w:jc w:val="center"/>
            </w:pPr>
            <w:r>
              <w:rPr>
                <w:rFonts w:ascii="Times New Roman" w:hAnsi="Times New Roman"/>
                <w:b/>
                <w:color w:val="FFFFFF"/>
                <w:sz w:val="20"/>
              </w:rPr>
              <w:t>1</w:t>
            </w:r>
          </w:p>
        </w:tc>
        <w:tc>
          <w:tcPr>
            <w:tcW w:w="567" w:type="dxa"/>
            <w:shd w:val="clear" w:color="auto" w:fill="4472C4"/>
          </w:tcPr>
          <w:p>
            <w:pPr>
              <w:spacing w:before="60" w:after="60" w:line="240" w:lineRule="auto"/>
              <w:jc w:val="center"/>
            </w:pPr>
            <w:r>
              <w:rPr>
                <w:rFonts w:ascii="Times New Roman" w:hAnsi="Times New Roman"/>
                <w:b/>
                <w:color w:val="FFFFFF"/>
                <w:sz w:val="20"/>
              </w:rPr>
              <w:t>2</w:t>
            </w:r>
          </w:p>
        </w:tc>
      </w:tr>
      <w:tr>
        <w:tc>
          <w:tcPr>
            <w:tcW w:w="2683" w:type="dxa"/>
            <w:shd w:val="clear" w:color="auto" w:fill="D9E1F2"/>
          </w:tcPr>
          <w:p>
            <w:pPr>
              <w:spacing w:before="60" w:after="60" w:line="240" w:lineRule="auto"/>
              <w:jc w:val="both"/>
            </w:pPr>
            <w:r>
              <w:rPr>
                <w:rFonts w:ascii="Times New Roman" w:hAnsi="Times New Roman"/>
                <w:b w:val="0"/>
                <w:color w:val="000000"/>
                <w:sz w:val="20"/>
              </w:rPr>
              <w:t>Inducción y reconocimiento de Atención al Cliente y del flujo de solicitudes.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Apoyo en Atención al Cliente: registro de pagos, recepción de solicitudes y observación del proceso.</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Levantamiento y descripción del proceso administrativo de afiliaciones e incidencias.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y aplicación de entrevistas estructuradas al personal relacionado con las solicitudes.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Diagnóstico de deficiencias y elaboración del diagrama de Ishikawa.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Revisión y desarrollo de las bases teóricas relacionadas con el control administrativo.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Análisis del impacto de las debilidades sobre tiempos, trazabilidad y atención al suscriptor.</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del flujo estandarizado y de los formatos de control de solicitudes.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Formulación y validación de la propuesta de mejora.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Consolidación, revisión y presentación del informe de pasantías.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r>
      <w:tr>
        <w:tc>
          <w:tcPr>
            <w:tcW w:w="2683" w:type="dxa"/>
            <w:shd w:val="clear" w:color="auto" w:fill="D9E1F2"/>
          </w:tcPr>
          <w:p>
            <w:pPr>
              <w:spacing w:before="60" w:after="60" w:line="240" w:lineRule="auto"/>
              <w:jc w:val="both"/>
            </w:pPr>
            <w:r>
              <w:rPr>
                <w:rFonts w:ascii="Times New Roman" w:hAnsi="Times New Roman"/>
                <w:b w:val="0"/>
                <w:color w:val="000000"/>
                <w:sz w:val="20"/>
              </w:rPr>
              <w:t>Apoyo operativo en pagos, facturación, seguimiento de casos y reportes administrativos.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r>
    </w:tbl>
    <w:p>
      <w:pPr>
        <w:sectPr>
          <w:footerReference w:type="default" r:id="rId51"/>
          <w:footerReference w:type="first" r:id="rId52"/>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53"/>
          <w:footerReference w:type="first" r:id="rId54"/>
          <w:pgSz w:w="12240" w:h="15840"/>
          <w:pgMar w:top="1701" w:right="1701" w:bottom="1701" w:left="2268" w:header="720" w:footer="720" w:gutter="0"/>
          <w:cols w:space="720"/>
          <w:titlePg/>
          <w:docGrid w:linePitch="360"/>
          <w:pgNumType w:fmt="decimal"/>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En el contexto de estas pasantías,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autor,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porque reconoce el ejercicio de la actividad empresarial y permite ubicar la prestación de servicios de IDETEL dentro de una actividad económica sujeta al ordenamiento jurídico. Su relación con el informe se limita a este fundamento general y no establece por sí mismo el procedimiento administrativo de seguimiento de solicitudes.</w:t>
      </w:r>
    </w:p>
    <w:p>
      <w:pPr>
        <w:spacing w:before="480" w:after="48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relacionado con la necesidad de conservar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el informe se encuentra en el principio de orden y claridad de las operaciones mercantiles. Los formatos y mecanismos de seguimiento propuestos no sustituyen los libros contables exigidos por la ley, pero complementan el control administrativo al organizar información asociada con solicitudes, pagos, facturación y seguimiento de casos.</w:t>
      </w:r>
    </w:p>
    <w:p>
      <w:pPr>
        <w:sectPr>
          <w:footerReference w:type="default" r:id="rId55"/>
          <w:footerReference w:type="first" r:id="rId56"/>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57"/>
          <w:footerReference w:type="first" r:id="rId58"/>
          <w:pgSz w:w="12240" w:h="15840"/>
          <w:pgMar w:top="1701" w:right="1701" w:bottom="1701" w:left="2268" w:header="720" w:footer="720" w:gutter="0"/>
          <w:cols w:space="720"/>
          <w:titlePg/>
          <w:docGrid w:linePitch="360"/>
          <w:pgNumType w:fmt="decimal"/>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desarrollaron actividades operativas y de análisis mediante una rotación inicial por Atención al Cliente y una segunda etapa de apoyo en Administración: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y rotación inicial por Atención al Cliente, reconocimiento de los tipos de solicitudes recibidas, revisión del proceso de registro de pagos y familiarización con la información utilizada para atender a los suscriptores.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punto de inicio de las solicitudes de afiliación e incidencias, identificando los datos que se generan en Atención al Cliente y la forma en que son comunicados a otras áreas.</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Atención al Cliente mediante recepción y registro de pagos, verificación de datos básicos de suscriptores y orientación inicial sobre solicitudes e incidencias reportadas.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recorrido de las solicitudes desde su recepción, revisión de registros disponibles y elaboración de un esquema preliminar de las etapas y áreas que intervienen en cada tipo de caso.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Continuación del apoyo en Atención al Cliente, registro de pagos y solicitudes, actualización de información básica y seguimiento inicial de casos remitidos a otras áreas.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una guía de entrevista estructurada y revisión del flujo observado para precisar los puntos donde se pierde continuidad o se dificulta conocer el estatus de las solicitudes.</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Inicio de la rotación por Administración con apoyo en procesamiento de pagos, facturación, revisión de documentación y seguimiento administrativo de solicitudes activas.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estructuradas al personal vinculado con Administración, Atención al Cliente y áreas relacionadas, registrando las principales fallas percibidas en comunicación, control y seguimiento.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tareas administrativas de facturación, actualización de registros y verificación del cierre de solicitudes e incidencias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Organización de los hallazgos del diagnóstico y elaboración del diagrama de Ishikawa para representar las causas relacionadas con procedimiento, comunicación, registro y seguimiento; inicio de la revisión de bases teóricas.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de pagos y documentos administrativos, apoyo en facturación y elaboración de reportes básicos requeridos por la supervisión.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identificadas sobre los tiempos de respuesta, la trazabilidad y la atención al suscriptor, complementando el desarrollo del marco teórico.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seguimiento de casos, actualización de registros administrativos y organización de documentación vinculada con solicitudes de servicio.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estandarizado para la gestión de solicitudes, estableciendo etapas, responsables, tiempos de referencia y puntos de control desde la recepción hasta el cierre.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facturación, seguimiento de incidencias y preparación de reportes administrativos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formatos estandarizados para afiliaciones e incidencias y redacción del procedimiento de control que acompaña al flujo propuesto.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 Administración y apoyo en el cierre y seguimiento de casos correspondientes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con el tutor industrial, incorporación de observaciones y preparación del flujograma definitivo del proceso propuesto.</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 los resultados y de la propuesta ante la supervisión del área, gestión de los recaudos de cierre y organización final de la documentación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académico, revisión de la normativa IUTECP, incorporación de anexos y correcciones finales para la entrega institucional.</w:t>
      </w:r>
    </w:p>
    <w:p>
      <w:pPr>
        <w:sectPr>
          <w:footerReference w:type="default" r:id="rId59"/>
          <w:footerReference w:type="first" r:id="rId60"/>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61"/>
          <w:footerReference w:type="first" r:id="rId62"/>
          <w:pgSz w:w="12240" w:h="15840"/>
          <w:pgMar w:top="1701" w:right="1701" w:bottom="1701" w:left="2268" w:header="720" w:footer="720" w:gutter="0"/>
          <w:cols w:space="720"/>
          <w:titlePg/>
          <w:docGrid w:linePitch="360"/>
          <w:pgNumType w:fmt="decimal"/>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gestión de solicitudes de IDETEL se inicia en Atención al Cliente y continúa hacia Administración y las áreas relacionadas, sin contar con un procedimiento único que establezca de forma visible el recorrido completo, los responsables y los criterios de cierre de cada caso.</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la falta de formatos uniformes, la actualización no centralizada del estatus, la ausencia de tiempos de referencia por etapa y las dificultades de comunicación entre las áreas; estas condiciones afectan la trazabilidad y pueden prolongar los tiempos de respuesta al suscriptor.</w:t>
      </w:r>
    </w:p>
    <w:p>
      <w:pPr>
        <w:spacing w:line="360" w:lineRule="auto"/>
        <w:ind w:firstLine="709"/>
        <w:jc w:val="both"/>
      </w:pPr>
      <w:r>
        <w:rPr>
          <w:rFonts w:ascii="Times New Roman" w:hAnsi="Times New Roman"/>
          <w:sz w:val="24"/>
        </w:rPr>
        <w:t xml:space="preserve">3. </w:t>
      </w:r>
      <w:r>
        <w:rPr>
          <w:rFonts w:ascii="Times New Roman" w:hAnsi="Times New Roman"/>
          <w:sz w:val="24"/>
        </w:rPr>
        <w:t>Se formularon mejoras al control administrativo mediante un flujo estandarizado, responsables por etapa, formatos de registro e indicadores básicos de seguimiento, orientados a facilitar la continuidad de la información y el control de las solicitudes desde su recepción hasta el cierre.</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progresivamente el flujo estandarizado propuesto y verificar su funcionamiento con un grupo controlado de solicitudes antes de aplicarlo a todos los casos.</w:t>
      </w:r>
    </w:p>
    <w:p>
      <w:pPr>
        <w:spacing w:line="360" w:lineRule="auto"/>
        <w:ind w:firstLine="709"/>
        <w:jc w:val="both"/>
      </w:pPr>
      <w:r>
        <w:rPr>
          <w:rFonts w:ascii="Times New Roman" w:hAnsi="Times New Roman"/>
          <w:sz w:val="24"/>
        </w:rPr>
        <w:t xml:space="preserve">2. </w:t>
      </w:r>
      <w:r>
        <w:rPr>
          <w:rFonts w:ascii="Times New Roman" w:hAnsi="Times New Roman"/>
          <w:sz w:val="24"/>
        </w:rPr>
        <w:t>Utilizar de manera uniforme los formatos de registro de afiliaciones e incidencias y definir claramente el responsable de actualizar el estatus en cada etapa.</w:t>
      </w:r>
    </w:p>
    <w:p>
      <w:pPr>
        <w:spacing w:line="360" w:lineRule="auto"/>
        <w:ind w:firstLine="709"/>
        <w:jc w:val="both"/>
      </w:pPr>
      <w:r>
        <w:rPr>
          <w:rFonts w:ascii="Times New Roman" w:hAnsi="Times New Roman"/>
          <w:sz w:val="24"/>
        </w:rPr>
        <w:t xml:space="preserve">3. </w:t>
      </w:r>
      <w:r>
        <w:rPr>
          <w:rFonts w:ascii="Times New Roman" w:hAnsi="Times New Roman"/>
          <w:sz w:val="24"/>
        </w:rPr>
        <w:t>Registrar y revisar periódicamente tiempos de respuesta, solicitudes pendientes y casos cerrados para identificar retrasos recurrentes y aplicar acciones correctivas.</w:t>
      </w:r>
    </w:p>
    <w:p>
      <w:pPr>
        <w:spacing w:line="360" w:lineRule="auto"/>
        <w:ind w:firstLine="709"/>
        <w:jc w:val="both"/>
      </w:pPr>
      <w:r>
        <w:rPr>
          <w:rFonts w:ascii="Times New Roman" w:hAnsi="Times New Roman"/>
          <w:sz w:val="24"/>
        </w:rPr>
        <w:t xml:space="preserve">4. </w:t>
      </w:r>
      <w:r>
        <w:rPr>
          <w:rFonts w:ascii="Times New Roman" w:hAnsi="Times New Roman"/>
          <w:sz w:val="24"/>
        </w:rPr>
        <w:t>Evaluar posteriormente una herramienta digital centralizada de seguimiento cuando el procedimiento administrativo ya se encuentre formalizado y validado por las áreas involucradas.</w:t>
      </w:r>
    </w:p>
    <w:p>
      <w:pPr>
        <w:sectPr>
          <w:footerReference w:type="default" r:id="rId63"/>
          <w:footerReference w:type="first" r:id="rId64"/>
          <w:type w:val="continuous"/>
          <w:pgSz w:w="12240" w:h="15840"/>
          <w:pgMar w:top="1701" w:right="1701" w:bottom="1701" w:left="2268" w:header="720" w:footer="720" w:gutter="0"/>
          <w:cols w:space="720"/>
          <w:titlePg/>
          <w:docGrid w:linePitch="360"/>
          <w:pgNumType w:fmt="decimal"/>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65"/>
          <w:footerReference w:type="first" r:id="rId66"/>
          <w:pgSz w:w="12240" w:h="15840"/>
          <w:pgMar w:top="1701" w:right="1701" w:bottom="1701" w:left="2268" w:header="720" w:footer="720" w:gutter="0"/>
          <w:cols w:space="720"/>
          <w:titlePg/>
          <w:docGrid w:linePitch="360"/>
          <w:pgNumType w:fmt="decimal"/>
        </w:sectPr>
      </w:pPr>
    </w:p>
    <w:p>
      <w:pPr>
        <w:spacing w:before="480" w:after="0"/>
      </w:pPr>
    </w:p>
    <w:p>
      <w:pPr>
        <w:spacing w:line="240" w:lineRule="auto" w:after="480" w:before="0"/>
        <w:ind w:left="425" w:hanging="425"/>
        <w:jc w:val="both"/>
      </w:pPr>
      <w:r>
        <w:rPr>
          <w:rFonts w:ascii="Times New Roman" w:hAnsi="Times New Roman"/>
          <w:sz w:val="24"/>
        </w:rPr>
        <w:t>Asamblea Nacional Constituyente. (1999). Constitución de la República Bolivariana de Venezuela. Gaceta Oficial de la República Bolivariana de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Congreso de la República de Venezuela. (1955). Código de Comercio. Gaceta Oficial Extraordinaria N.º 475.</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67"/>
          <w:footerReference w:type="first" r:id="rId68"/>
          <w:type w:val="continuous"/>
          <w:pgSz w:w="12240" w:h="15840"/>
          <w:pgMar w:top="1701" w:right="1701" w:bottom="1701" w:left="2268" w:header="720" w:footer="720" w:gutter="0"/>
          <w:cols w:space="720"/>
          <w:titlePg/>
          <w:docGrid w:linePitch="360"/>
          <w:pgNumType w:fmt="decimal"/>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69"/>
          <w:pgSz w:w="12240" w:h="15840"/>
          <w:pgMar w:top="1701" w:right="1701" w:bottom="1701" w:left="2268" w:header="720" w:footer="720" w:gutter="0"/>
          <w:cols w:space="720"/>
          <w:docGrid w:linePitch="360"/>
          <w:pgNumType w:fmt="decimal"/>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propuesto de gestión de solicitudes de servicios]</w:t>
      </w:r>
    </w:p>
    <w:p>
      <w:pPr>
        <w:jc w:val="center"/>
      </w:pPr>
      <w:r>
        <w:drawing>
          <wp:inline xmlns:a="http://schemas.openxmlformats.org/drawingml/2006/main" xmlns:pic="http://schemas.openxmlformats.org/drawingml/2006/picture">
            <wp:extent cx="1065395" cy="4860000"/>
            <wp:docPr id="7" name="Picture 7"/>
            <wp:cNvGraphicFramePr>
              <a:graphicFrameLocks noChangeAspect="1"/>
            </wp:cNvGraphicFramePr>
            <a:graphic>
              <a:graphicData uri="http://schemas.openxmlformats.org/drawingml/2006/picture">
                <pic:pic>
                  <pic:nvPicPr>
                    <pic:cNvPr id="0" name="4.png"/>
                    <pic:cNvPicPr/>
                  </pic:nvPicPr>
                  <pic:blipFill>
                    <a:blip r:embed="rId15"/>
                    <a:stretch>
                      <a:fillRect/>
                    </a:stretch>
                  </pic:blipFill>
                  <pic:spPr>
                    <a:xfrm>
                      <a:off x="0" y="0"/>
                      <a:ext cx="1065395" cy="4860000"/>
                    </a:xfrm>
                    <a:prstGeom prst="rect"/>
                  </pic:spPr>
                </pic:pic>
              </a:graphicData>
            </a:graphic>
          </wp:inline>
        </w:drawing>
      </w:r>
    </w:p>
    <w:p>
      <w:pPr>
        <w:sectPr>
          <w:footerReference w:type="default" r:id="rId70"/>
          <w:pgSz w:w="12240" w:h="15840"/>
          <w:pgMar w:top="1701" w:right="1701" w:bottom="1701" w:left="2268" w:header="720" w:footer="720" w:gutter="0"/>
          <w:cols w:space="720"/>
          <w:docGrid w:linePitch="360"/>
          <w:pgNumType w:fmt="decimal"/>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[Diagrama de Ishikawa del control de solicitudes]</w:t>
      </w:r>
    </w:p>
    <w:p>
      <w:pPr>
        <w:jc w:val="center"/>
      </w:pPr>
      <w:r>
        <w:drawing>
          <wp:inline xmlns:a="http://schemas.openxmlformats.org/drawingml/2006/main" xmlns:pic="http://schemas.openxmlformats.org/drawingml/2006/picture">
            <wp:extent cx="4679999" cy="1208317"/>
            <wp:docPr id="8" name="Picture 8"/>
            <wp:cNvGraphicFramePr>
              <a:graphicFrameLocks noChangeAspect="1"/>
            </wp:cNvGraphicFramePr>
            <a:graphic>
              <a:graphicData uri="http://schemas.openxmlformats.org/drawingml/2006/picture">
                <pic:pic>
                  <pic:nvPicPr>
                    <pic:cNvPr id="0" name="01_ishikawa_control_solicitudes.png"/>
                    <pic:cNvPicPr/>
                  </pic:nvPicPr>
                  <pic:blipFill>
                    <a:blip r:embed="rId16"/>
                    <a:stretch>
                      <a:fillRect/>
                    </a:stretch>
                  </pic:blipFill>
                  <pic:spPr>
                    <a:xfrm>
                      <a:off x="0" y="0"/>
                      <a:ext cx="4679999" cy="1208317"/>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1"/>
          <w:pgSz w:w="12240" w:h="15840"/>
          <w:pgMar w:top="1701" w:right="1701" w:bottom="1701" w:left="2268" w:header="720" w:footer="720" w:gutter="0"/>
          <w:cols w:space="720"/>
          <w:docGrid w:linePitch="360"/>
          <w:pgNumType w:fmt="decimal"/>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[Flujograma AS-IS de afiliaciones e incidencias]</w:t>
      </w:r>
    </w:p>
    <w:p>
      <w:pPr>
        <w:jc w:val="center"/>
      </w:pPr>
      <w:r>
        <w:drawing>
          <wp:inline xmlns:a="http://schemas.openxmlformats.org/drawingml/2006/main" xmlns:pic="http://schemas.openxmlformats.org/drawingml/2006/picture">
            <wp:extent cx="2550866" cy="5400000"/>
            <wp:docPr id="9" name="Picture 9"/>
            <wp:cNvGraphicFramePr>
              <a:graphicFrameLocks noChangeAspect="1"/>
            </wp:cNvGraphicFramePr>
            <a:graphic>
              <a:graphicData uri="http://schemas.openxmlformats.org/drawingml/2006/picture">
                <pic:pic>
                  <pic:nvPicPr>
                    <pic:cNvPr id="0" name="02_flujo_as_is_solicitudes.png"/>
                    <pic:cNvPicPr/>
                  </pic:nvPicPr>
                  <pic:blipFill>
                    <a:blip r:embed="rId17"/>
                    <a:stretch>
                      <a:fillRect/>
                    </a:stretch>
                  </pic:blipFill>
                  <pic:spPr>
                    <a:xfrm>
                      <a:off x="0" y="0"/>
                      <a:ext cx="2550866" cy="540000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2"/>
          <w:pgSz w:w="12240" w:h="15840"/>
          <w:pgMar w:top="1701" w:right="1701" w:bottom="1701" w:left="2268" w:header="720" w:footer="720" w:gutter="0"/>
          <w:cols w:space="720"/>
          <w:docGrid w:linePitch="360"/>
          <w:pgNumType w:fmt="decimal"/>
        </w:sectPr>
      </w:pPr>
    </w:p>
    <w:p>
      <w:bookmarkStart w:id="bm_anexoD" w:name="bm_anexoD"/>
      <w:pPr>
        <w:spacing w:before="0" w:after="480"/>
        <w:jc w:val="center"/>
      </w:pPr>
      <w:bookmarkEnd w:id="bm_anexoD"/>
      <w:r>
        <w:rPr>
          <w:rFonts w:ascii="Times New Roman" w:hAnsi="Times New Roman"/>
          <w:b/>
          <w:sz w:val="24"/>
        </w:rPr>
        <w:t>ANEXO D</w:t>
      </w:r>
    </w:p>
    <w:p>
      <w:pPr>
        <w:spacing w:before="240" w:after="480"/>
        <w:jc w:val="center"/>
      </w:pPr>
      <w:r>
        <w:rPr>
          <w:rFonts w:ascii="Times New Roman" w:hAnsi="Times New Roman"/>
          <w:b/>
          <w:sz w:val="24"/>
        </w:rPr>
        <w:t>[Swimlane interdepartamental de gestión de solicitudes]</w:t>
      </w:r>
    </w:p>
    <w:p>
      <w:pPr>
        <w:jc w:val="center"/>
      </w:pPr>
      <w:r>
        <w:drawing>
          <wp:inline xmlns:a="http://schemas.openxmlformats.org/drawingml/2006/main" xmlns:pic="http://schemas.openxmlformats.org/drawingml/2006/picture">
            <wp:extent cx="5040000" cy="2942538"/>
            <wp:docPr id="10" name="Picture 10"/>
            <wp:cNvGraphicFramePr>
              <a:graphicFrameLocks noChangeAspect="1"/>
            </wp:cNvGraphicFramePr>
            <a:graphic>
              <a:graphicData uri="http://schemas.openxmlformats.org/drawingml/2006/picture">
                <pic:pic>
                  <pic:nvPicPr>
                    <pic:cNvPr id="0" name="04_swimlane_gestion_solicitudes.png"/>
                    <pic:cNvPicPr/>
                  </pic:nvPicPr>
                  <pic:blipFill>
                    <a:blip r:embed="rId18"/>
                    <a:stretch>
                      <a:fillRect/>
                    </a:stretch>
                  </pic:blipFill>
                  <pic:spPr>
                    <a:xfrm>
                      <a:off x="0" y="0"/>
                      <a:ext cx="5040000" cy="2942538"/>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3"/>
          <w:pgSz w:w="12240" w:h="15840"/>
          <w:pgMar w:top="1701" w:right="1701" w:bottom="1701" w:left="2268" w:header="720" w:footer="720" w:gutter="0"/>
          <w:cols w:space="720"/>
          <w:docGrid w:linePitch="360"/>
          <w:pgNumType w:fmt="decimal"/>
        </w:sectPr>
      </w:pPr>
    </w:p>
    <w:p>
      <w:bookmarkStart w:id="bm_anexoE" w:name="bm_anexoE"/>
      <w:pPr>
        <w:spacing w:before="0" w:after="480"/>
        <w:jc w:val="center"/>
      </w:pPr>
      <w:bookmarkEnd w:id="bm_anexoE"/>
      <w:r>
        <w:rPr>
          <w:rFonts w:ascii="Times New Roman" w:hAnsi="Times New Roman"/>
          <w:b/>
          <w:sz w:val="24"/>
        </w:rPr>
        <w:t>ANEXO E</w:t>
      </w:r>
    </w:p>
    <w:p>
      <w:pPr>
        <w:spacing w:before="240" w:after="480"/>
        <w:jc w:val="center"/>
      </w:pPr>
      <w:r>
        <w:rPr>
          <w:rFonts w:ascii="Times New Roman" w:hAnsi="Times New Roman"/>
          <w:b/>
          <w:sz w:val="24"/>
        </w:rPr>
        <w:t>[Estados de una solicitud de servicio]</w:t>
      </w:r>
    </w:p>
    <w:p>
      <w:pPr>
        <w:jc w:val="center"/>
      </w:pPr>
      <w:r>
        <w:drawing>
          <wp:inline xmlns:a="http://schemas.openxmlformats.org/drawingml/2006/main" xmlns:pic="http://schemas.openxmlformats.org/drawingml/2006/picture">
            <wp:extent cx="4680000" cy="2220000"/>
            <wp:docPr id="11" name="Picture 11"/>
            <wp:cNvGraphicFramePr>
              <a:graphicFrameLocks noChangeAspect="1"/>
            </wp:cNvGraphicFramePr>
            <a:graphic>
              <a:graphicData uri="http://schemas.openxmlformats.org/drawingml/2006/picture">
                <pic:pic>
                  <pic:nvPicPr>
                    <pic:cNvPr id="0" name="05_estados_solicitud.png"/>
                    <pic:cNvPicPr/>
                  </pic:nvPicPr>
                  <pic:blipFill>
                    <a:blip r:embed="rId19"/>
                    <a:stretch>
                      <a:fillRect/>
                    </a:stretch>
                  </pic:blipFill>
                  <pic:spPr>
                    <a:xfrm>
                      <a:off x="0" y="0"/>
                      <a:ext cx="4680000" cy="222000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4"/>
          <w:pgSz w:w="12240" w:h="15840"/>
          <w:pgMar w:top="1701" w:right="1701" w:bottom="1701" w:left="2268" w:header="720" w:footer="720" w:gutter="0"/>
          <w:cols w:space="720"/>
          <w:docGrid w:linePitch="360"/>
          <w:pgNumType w:fmt="decimal"/>
        </w:sectPr>
      </w:pPr>
    </w:p>
    <w:p>
      <w:bookmarkStart w:id="bm_anexoF" w:name="bm_anexoF"/>
      <w:pPr>
        <w:spacing w:before="0" w:after="480"/>
        <w:jc w:val="center"/>
      </w:pPr>
      <w:bookmarkEnd w:id="bm_anexoF"/>
      <w:r>
        <w:rPr>
          <w:rFonts w:ascii="Times New Roman" w:hAnsi="Times New Roman"/>
          <w:b/>
          <w:sz w:val="24"/>
        </w:rPr>
        <w:t>ANEXO F</w:t>
      </w:r>
    </w:p>
    <w:p>
      <w:pPr>
        <w:spacing w:before="240" w:after="480"/>
        <w:jc w:val="center"/>
      </w:pPr>
      <w:r>
        <w:rPr>
          <w:rFonts w:ascii="Times New Roman" w:hAnsi="Times New Roman"/>
          <w:b/>
          <w:sz w:val="24"/>
        </w:rPr>
        <w:t>[Comunicación interdepartamental]</w:t>
      </w:r>
    </w:p>
    <w:p>
      <w:pPr>
        <w:jc w:val="center"/>
      </w:pPr>
      <w:r>
        <w:drawing>
          <wp:inline xmlns:a="http://schemas.openxmlformats.org/drawingml/2006/main" xmlns:pic="http://schemas.openxmlformats.org/drawingml/2006/picture">
            <wp:extent cx="3652060" cy="4680000"/>
            <wp:docPr id="12" name="Picture 12"/>
            <wp:cNvGraphicFramePr>
              <a:graphicFrameLocks noChangeAspect="1"/>
            </wp:cNvGraphicFramePr>
            <a:graphic>
              <a:graphicData uri="http://schemas.openxmlformats.org/drawingml/2006/picture">
                <pic:pic>
                  <pic:nvPicPr>
                    <pic:cNvPr id="0" name="10_comunicacion_interdepartamental.png"/>
                    <pic:cNvPicPr/>
                  </pic:nvPicPr>
                  <pic:blipFill>
                    <a:blip r:embed="rId20"/>
                    <a:stretch>
                      <a:fillRect/>
                    </a:stretch>
                  </pic:blipFill>
                  <pic:spPr>
                    <a:xfrm>
                      <a:off x="0" y="0"/>
                      <a:ext cx="3652060" cy="468000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5"/>
          <w:pgSz w:w="12240" w:h="15840"/>
          <w:pgMar w:top="1701" w:right="1701" w:bottom="1701" w:left="2268" w:header="720" w:footer="720" w:gutter="0"/>
          <w:cols w:space="720"/>
          <w:docGrid w:linePitch="360"/>
          <w:pgNumType w:fmt="decimal"/>
        </w:sectPr>
      </w:pPr>
    </w:p>
    <w:p>
      <w:bookmarkStart w:id="bm_anexoG" w:name="bm_anexoG"/>
      <w:pPr>
        <w:spacing w:before="0" w:after="480"/>
        <w:jc w:val="center"/>
      </w:pPr>
      <w:bookmarkEnd w:id="bm_anexoG"/>
      <w:r>
        <w:rPr>
          <w:rFonts w:ascii="Times New Roman" w:hAnsi="Times New Roman"/>
          <w:b/>
          <w:sz w:val="24"/>
        </w:rPr>
        <w:t>ANEXO G</w:t>
      </w:r>
    </w:p>
    <w:p>
      <w:pPr>
        <w:spacing w:before="240" w:after="480"/>
        <w:jc w:val="center"/>
      </w:pPr>
      <w:r>
        <w:rPr>
          <w:rFonts w:ascii="Times New Roman" w:hAnsi="Times New Roman"/>
          <w:b/>
          <w:sz w:val="24"/>
        </w:rPr>
        <w:t>[Comparación AS-IS y TO-BE del control de solicitudes]</w:t>
      </w:r>
    </w:p>
    <w:p>
      <w:pPr>
        <w:jc w:val="center"/>
      </w:pPr>
      <w:r>
        <w:drawing>
          <wp:inline xmlns:a="http://schemas.openxmlformats.org/drawingml/2006/main" xmlns:pic="http://schemas.openxmlformats.org/drawingml/2006/picture">
            <wp:extent cx="4680000" cy="4680000"/>
            <wp:docPr id="13" name="Picture 13"/>
            <wp:cNvGraphicFramePr>
              <a:graphicFrameLocks noChangeAspect="1"/>
            </wp:cNvGraphicFramePr>
            <a:graphic>
              <a:graphicData uri="http://schemas.openxmlformats.org/drawingml/2006/picture">
                <pic:pic>
                  <pic:nvPicPr>
                    <pic:cNvPr id="0" name="11_comparacion_as_is_to_be.png"/>
                    <pic:cNvPicPr/>
                  </pic:nvPicPr>
                  <pic:blipFill>
                    <a:blip r:embed="rId21"/>
                    <a:stretch>
                      <a:fillRect/>
                    </a:stretch>
                  </pic:blipFill>
                  <pic:spPr>
                    <a:xfrm>
                      <a:off x="0" y="0"/>
                      <a:ext cx="4680000" cy="468000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6"/>
          <w:pgSz w:w="12240" w:h="15840"/>
          <w:pgMar w:top="1701" w:right="1701" w:bottom="1701" w:left="2268" w:header="720" w:footer="720" w:gutter="0"/>
          <w:cols w:space="720"/>
          <w:docGrid w:linePitch="360"/>
          <w:pgNumType w:fmt="decimal"/>
        </w:sectPr>
      </w:pPr>
    </w:p>
    <w:p>
      <w:bookmarkStart w:id="bm_anexoH" w:name="bm_anexoH"/>
      <w:pPr>
        <w:spacing w:before="0" w:after="480"/>
        <w:jc w:val="center"/>
      </w:pPr>
      <w:bookmarkEnd w:id="bm_anexoH"/>
      <w:r>
        <w:rPr>
          <w:rFonts w:ascii="Times New Roman" w:hAnsi="Times New Roman"/>
          <w:b/>
          <w:sz w:val="24"/>
        </w:rPr>
        <w:t>ANEXO H</w:t>
      </w:r>
    </w:p>
    <w:p>
      <w:pPr>
        <w:spacing w:before="240" w:after="480"/>
        <w:jc w:val="center"/>
      </w:pPr>
      <w:r>
        <w:rPr>
          <w:rFonts w:ascii="Times New Roman" w:hAnsi="Times New Roman"/>
          <w:b/>
          <w:sz w:val="24"/>
        </w:rPr>
        <w:t>[Diagrama de Ishikawa del control y trazabilidad de las solicitudes de servicio]</w:t>
      </w:r>
    </w:p>
    <w:p>
      <w:pPr>
        <w:jc w:val="center"/>
      </w:pPr>
      <w:r>
        <w:drawing>
          <wp:inline xmlns:a="http://schemas.openxmlformats.org/drawingml/2006/main" xmlns:pic="http://schemas.openxmlformats.org/drawingml/2006/picture">
            <wp:extent cx="4680000" cy="4264486"/>
            <wp:docPr id="14" name="Picture 14"/>
            <wp:cNvGraphicFramePr>
              <a:graphicFrameLocks noChangeAspect="1"/>
            </wp:cNvGraphicFramePr>
            <a:graphic>
              <a:graphicData uri="http://schemas.openxmlformats.org/drawingml/2006/picture">
                <pic:pic>
                  <pic:nvPicPr>
                    <pic:cNvPr id="0" name="ishikawa_amaal_solicitudes.png"/>
                    <pic:cNvPicPr/>
                  </pic:nvPicPr>
                  <pic:blipFill>
                    <a:blip r:embed="rId22"/>
                    <a:stretch>
                      <a:fillRect/>
                    </a:stretch>
                  </pic:blipFill>
                  <pic:spPr>
                    <a:xfrm>
                      <a:off x="0" y="0"/>
                      <a:ext cx="4680000" cy="4264486"/>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sectPr w:rsidR="00FC693F" w:rsidRPr="0006063C" w:rsidSect="00034616">
      <w:footerReference w:type="default" r:id="rId77"/>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footer" Target="footer4.xml"/><Relationship Id="rId27" Type="http://schemas.openxmlformats.org/officeDocument/2006/relationships/footer" Target="footer5.xml"/><Relationship Id="rId28" Type="http://schemas.openxmlformats.org/officeDocument/2006/relationships/footer" Target="footer6.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er" Target="footer10.xml"/><Relationship Id="rId33" Type="http://schemas.openxmlformats.org/officeDocument/2006/relationships/footer" Target="footer11.xml"/><Relationship Id="rId34" Type="http://schemas.openxmlformats.org/officeDocument/2006/relationships/footer" Target="footer12.xml"/><Relationship Id="rId35" Type="http://schemas.openxmlformats.org/officeDocument/2006/relationships/footer" Target="footer13.xml"/><Relationship Id="rId36" Type="http://schemas.openxmlformats.org/officeDocument/2006/relationships/footer" Target="footer14.xml"/><Relationship Id="rId37" Type="http://schemas.openxmlformats.org/officeDocument/2006/relationships/footer" Target="footer15.xml"/><Relationship Id="rId38" Type="http://schemas.openxmlformats.org/officeDocument/2006/relationships/footer" Target="footer16.xml"/><Relationship Id="rId39" Type="http://schemas.openxmlformats.org/officeDocument/2006/relationships/footer" Target="footer17.xml"/><Relationship Id="rId40" Type="http://schemas.openxmlformats.org/officeDocument/2006/relationships/footer" Target="footer18.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footer" Target="footer22.xml"/><Relationship Id="rId45" Type="http://schemas.openxmlformats.org/officeDocument/2006/relationships/footer" Target="footer23.xml"/><Relationship Id="rId46" Type="http://schemas.openxmlformats.org/officeDocument/2006/relationships/footer" Target="footer24.xml"/><Relationship Id="rId47" Type="http://schemas.openxmlformats.org/officeDocument/2006/relationships/footer" Target="footer25.xml"/><Relationship Id="rId48" Type="http://schemas.openxmlformats.org/officeDocument/2006/relationships/footer" Target="footer26.xml"/><Relationship Id="rId49" Type="http://schemas.openxmlformats.org/officeDocument/2006/relationships/footer" Target="footer27.xml"/><Relationship Id="rId50" Type="http://schemas.openxmlformats.org/officeDocument/2006/relationships/footer" Target="footer28.xml"/><Relationship Id="rId51" Type="http://schemas.openxmlformats.org/officeDocument/2006/relationships/footer" Target="footer29.xml"/><Relationship Id="rId52" Type="http://schemas.openxmlformats.org/officeDocument/2006/relationships/footer" Target="footer30.xml"/><Relationship Id="rId53" Type="http://schemas.openxmlformats.org/officeDocument/2006/relationships/footer" Target="footer31.xml"/><Relationship Id="rId54" Type="http://schemas.openxmlformats.org/officeDocument/2006/relationships/footer" Target="footer32.xml"/><Relationship Id="rId55" Type="http://schemas.openxmlformats.org/officeDocument/2006/relationships/footer" Target="footer33.xml"/><Relationship Id="rId56" Type="http://schemas.openxmlformats.org/officeDocument/2006/relationships/footer" Target="footer34.xml"/><Relationship Id="rId57" Type="http://schemas.openxmlformats.org/officeDocument/2006/relationships/footer" Target="footer35.xml"/><Relationship Id="rId58" Type="http://schemas.openxmlformats.org/officeDocument/2006/relationships/footer" Target="footer36.xml"/><Relationship Id="rId59" Type="http://schemas.openxmlformats.org/officeDocument/2006/relationships/footer" Target="footer37.xml"/><Relationship Id="rId60" Type="http://schemas.openxmlformats.org/officeDocument/2006/relationships/footer" Target="footer38.xml"/><Relationship Id="rId61" Type="http://schemas.openxmlformats.org/officeDocument/2006/relationships/footer" Target="footer39.xml"/><Relationship Id="rId62" Type="http://schemas.openxmlformats.org/officeDocument/2006/relationships/footer" Target="footer40.xml"/><Relationship Id="rId63" Type="http://schemas.openxmlformats.org/officeDocument/2006/relationships/footer" Target="footer41.xml"/><Relationship Id="rId64" Type="http://schemas.openxmlformats.org/officeDocument/2006/relationships/footer" Target="footer42.xml"/><Relationship Id="rId65" Type="http://schemas.openxmlformats.org/officeDocument/2006/relationships/footer" Target="footer43.xml"/><Relationship Id="rId66" Type="http://schemas.openxmlformats.org/officeDocument/2006/relationships/footer" Target="footer44.xml"/><Relationship Id="rId67" Type="http://schemas.openxmlformats.org/officeDocument/2006/relationships/footer" Target="footer45.xml"/><Relationship Id="rId68" Type="http://schemas.openxmlformats.org/officeDocument/2006/relationships/footer" Target="footer46.xml"/><Relationship Id="rId69" Type="http://schemas.openxmlformats.org/officeDocument/2006/relationships/footer" Target="footer47.xml"/><Relationship Id="rId70" Type="http://schemas.openxmlformats.org/officeDocument/2006/relationships/footer" Target="footer48.xml"/><Relationship Id="rId71" Type="http://schemas.openxmlformats.org/officeDocument/2006/relationships/footer" Target="footer49.xml"/><Relationship Id="rId72" Type="http://schemas.openxmlformats.org/officeDocument/2006/relationships/footer" Target="footer50.xml"/><Relationship Id="rId73" Type="http://schemas.openxmlformats.org/officeDocument/2006/relationships/footer" Target="footer51.xml"/><Relationship Id="rId74" Type="http://schemas.openxmlformats.org/officeDocument/2006/relationships/footer" Target="footer52.xml"/><Relationship Id="rId75" Type="http://schemas.openxmlformats.org/officeDocument/2006/relationships/footer" Target="footer53.xml"/><Relationship Id="rId76" Type="http://schemas.openxmlformats.org/officeDocument/2006/relationships/footer" Target="footer54.xml"/><Relationship Id="rId77" Type="http://schemas.openxmlformats.org/officeDocument/2006/relationships/footer" Target="footer5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