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7"/>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8"/>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9"/>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30"/>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31"/>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2"/>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3"/>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4"/>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6"/>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7"/>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Modelo relacional documental del prototipo</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8"/>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DESARROLLO DE UN PROTOTIPO DE SISTEMA PARA EL CONTROL, TRAZABILIDAD Y REPORTE DOCUMENTAL EN LA PRESIDENCIA DE VENANGOCUPET, S.A.</w:t>
      </w:r>
    </w:p>
    <w:p>
      <w:pPr>
        <w:spacing w:line="240" w:lineRule="auto" w:after="12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9"/>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40"/>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41"/>
          <w:footerReference w:type="first" r:id="rId42"/>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43"/>
          <w:footerReference w:type="first" r:id="rId4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before="120" w:line="240" w:lineRule="auto"/>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47"/>
          <w:footerReference w:type="first" r:id="rId4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51"/>
          <w:footerReference w:type="first" r:id="rId5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55"/>
          <w:footerReference w:type="first" r:id="rId5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7"/>
          <w:footerReference w:type="first" r:id="rId58"/>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59"/>
          <w:footerReference w:type="first" r:id="rId6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61"/>
          <w:footerReference w:type="first" r:id="rId62"/>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63"/>
          <w:footerReference w:type="first" r:id="rId64"/>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5"/>
          <w:footerReference w:type="first" r:id="rId66"/>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67"/>
          <w:footerReference w:type="first" r:id="rId68"/>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ectPr>
          <w:footerReference w:type="default" r:id="rId70"/>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[Flujograma AS-IS del proceso documental actual de Presidencia]</w:t>
      </w:r>
    </w:p>
    <w:p>
      <w:pPr>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TO-BE del proceso con el sistema automatizado]</w:t>
      </w:r>
    </w:p>
    <w:p>
      <w:pPr>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[Modelo relacional documental del prototipo]</w:t>
      </w:r>
    </w:p>
    <w:p>
      <w:pPr>
        <w:jc w:val="center"/>
      </w:pPr>
      <w:r>
        <w:drawing>
          <wp:inline xmlns:a="http://schemas.openxmlformats.org/drawingml/2006/main" xmlns:pic="http://schemas.openxmlformats.org/drawingml/2006/picture">
            <wp:extent cx="4160526" cy="3600000"/>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4160526" cy="36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3"/>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[Arquitectura lógica del prototipo]</w:t>
      </w:r>
    </w:p>
    <w:p>
      <w:pPr>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4"/>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[Secuencia de registro y despacho de un expediente]</w:t>
      </w:r>
    </w:p>
    <w:p>
      <w:pPr>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5"/>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[Estados del expediente]</w:t>
      </w:r>
    </w:p>
    <w:p>
      <w:pPr>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6"/>
          <w:pgSz w:w="12240" w:h="15840"/>
          <w:pgMar w:top="1701" w:right="1701" w:bottom="1701" w:left="2268" w:header="720" w:footer="720" w:gutter="0"/>
          <w:cols w:space="720"/>
          <w:docGrid w:linePitch="360"/>
          <w:pgNumType w:fmt="decimal"/>
        </w:sectPr>
      </w:pPr>
    </w:p>
    <w:p>
      <w:bookmarkStart w:id="bm_anexoH" w:name="bm_anexoH"/>
      <w:pPr>
        <w:spacing w:before="0" w:after="480"/>
        <w:jc w:val="center"/>
      </w:pPr>
      <w:bookmarkEnd w:id="bm_anexoH"/>
      <w:r>
        <w:rPr>
          <w:rFonts w:ascii="Times New Roman" w:hAnsi="Times New Roman"/>
          <w:b/>
          <w:sz w:val="24"/>
        </w:rPr>
        <w:t>ANEXO H</w:t>
      </w:r>
    </w:p>
    <w:p>
      <w:pPr>
        <w:spacing w:before="240" w:after="480"/>
        <w:jc w:val="center"/>
      </w:pPr>
      <w:r>
        <w:rPr>
          <w:rFonts w:ascii="Times New Roman" w:hAnsi="Times New Roman"/>
          <w:b/>
          <w:sz w:val="24"/>
        </w:rPr>
        <w:t>[Mapa de módulos de la interfaz]</w:t>
      </w:r>
    </w:p>
    <w:p>
      <w:pPr>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7"/>
          <w:pgSz w:w="12240" w:h="15840"/>
          <w:pgMar w:top="1701" w:right="1701" w:bottom="1701" w:left="2268" w:header="720" w:footer="720" w:gutter="0"/>
          <w:cols w:space="720"/>
          <w:docGrid w:linePitch="360"/>
          <w:pgNumType w:fmt="decimal"/>
        </w:sectPr>
      </w:pPr>
    </w:p>
    <w:p>
      <w:bookmarkStart w:id="bm_anexoI" w:name="bm_anexoI"/>
      <w:pPr>
        <w:spacing w:before="0" w:after="480"/>
        <w:jc w:val="center"/>
      </w:pPr>
      <w:bookmarkEnd w:id="bm_anexoI"/>
      <w:r>
        <w:rPr>
          <w:rFonts w:ascii="Times New Roman" w:hAnsi="Times New Roman"/>
          <w:b/>
          <w:sz w:val="24"/>
        </w:rPr>
        <w:t>ANEXO I</w:t>
      </w:r>
    </w:p>
    <w:p>
      <w:pPr>
        <w:spacing w:before="240" w:after="480"/>
        <w:jc w:val="center"/>
      </w:pPr>
      <w:r>
        <w:rPr>
          <w:rFonts w:ascii="Times New Roman" w:hAnsi="Times New Roman"/>
          <w:b/>
          <w:sz w:val="24"/>
        </w:rPr>
        <w:t>[Proceso de respaldo periódico de SQLite]</w:t>
      </w:r>
    </w:p>
    <w:p>
      <w:pPr>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8"/>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 Id="rId56" Type="http://schemas.openxmlformats.org/officeDocument/2006/relationships/footer" Target="footer34.xml"/><Relationship Id="rId57" Type="http://schemas.openxmlformats.org/officeDocument/2006/relationships/footer" Target="footer35.xml"/><Relationship Id="rId58" Type="http://schemas.openxmlformats.org/officeDocument/2006/relationships/footer" Target="footer36.xml"/><Relationship Id="rId59" Type="http://schemas.openxmlformats.org/officeDocument/2006/relationships/footer" Target="footer37.xml"/><Relationship Id="rId60" Type="http://schemas.openxmlformats.org/officeDocument/2006/relationships/footer" Target="footer38.xml"/><Relationship Id="rId61" Type="http://schemas.openxmlformats.org/officeDocument/2006/relationships/footer" Target="footer39.xml"/><Relationship Id="rId62" Type="http://schemas.openxmlformats.org/officeDocument/2006/relationships/footer" Target="footer40.xml"/><Relationship Id="rId63" Type="http://schemas.openxmlformats.org/officeDocument/2006/relationships/footer" Target="footer41.xml"/><Relationship Id="rId64" Type="http://schemas.openxmlformats.org/officeDocument/2006/relationships/footer" Target="footer42.xml"/><Relationship Id="rId65" Type="http://schemas.openxmlformats.org/officeDocument/2006/relationships/footer" Target="footer43.xml"/><Relationship Id="rId66" Type="http://schemas.openxmlformats.org/officeDocument/2006/relationships/footer" Target="footer44.xml"/><Relationship Id="rId67" Type="http://schemas.openxmlformats.org/officeDocument/2006/relationships/footer" Target="footer45.xml"/><Relationship Id="rId68" Type="http://schemas.openxmlformats.org/officeDocument/2006/relationships/footer" Target="footer46.xml"/><Relationship Id="rId69" Type="http://schemas.openxmlformats.org/officeDocument/2006/relationships/footer" Target="footer47.xml"/><Relationship Id="rId70" Type="http://schemas.openxmlformats.org/officeDocument/2006/relationships/footer" Target="footer48.xml"/><Relationship Id="rId71" Type="http://schemas.openxmlformats.org/officeDocument/2006/relationships/footer" Target="footer49.xml"/><Relationship Id="rId72" Type="http://schemas.openxmlformats.org/officeDocument/2006/relationships/footer" Target="footer50.xml"/><Relationship Id="rId73" Type="http://schemas.openxmlformats.org/officeDocument/2006/relationships/footer" Target="footer51.xml"/><Relationship Id="rId74" Type="http://schemas.openxmlformats.org/officeDocument/2006/relationships/footer" Target="footer52.xml"/><Relationship Id="rId75" Type="http://schemas.openxmlformats.org/officeDocument/2006/relationships/footer" Target="footer53.xml"/><Relationship Id="rId76" Type="http://schemas.openxmlformats.org/officeDocument/2006/relationships/footer" Target="footer54.xml"/><Relationship Id="rId77" Type="http://schemas.openxmlformats.org/officeDocument/2006/relationships/footer" Target="footer55.xml"/><Relationship Id="rId78" Type="http://schemas.openxmlformats.org/officeDocument/2006/relationships/footer" Target="footer5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