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20"/>
          <w:pgSz w:w="12240" w:h="15840"/>
          <w:pgMar w:top="1701" w:right="1701" w:bottom="1701" w:left="2268" w:header="720" w:footer="720" w:gutter="0"/>
          <w:cols w:space="720"/>
          <w:docGrid w:linePitch="360"/>
          <w:pgNumType w:fmt="lowerRoman" w:start="1"/>
        </w:sectPr>
      </w:pPr>
    </w:p>
    <w:p>
      <w:bookmarkStart w:id="bm_contraportada"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bm_contraportada"/>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21"/>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22"/>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23"/>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24"/>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sectPr>
          <w:footerReference w:type="default" r:id="rId25"/>
          <w:type w:val="continuous"/>
          <w:pgSz w:w="12240" w:h="15840"/>
          <w:pgMar w:top="1701" w:right="1701" w:bottom="1701" w:left="2268" w:header="720" w:footer="720" w:gutter="0"/>
          <w:cols w:space="720"/>
          <w:docGrid w:linePitch="360"/>
          <w:pgNumType w:fmt="lowerRoman"/>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6"/>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sectPr>
          <w:footerReference w:type="default" r:id="rId27"/>
          <w:type w:val="continuous"/>
          <w:pgSz w:w="12240" w:h="15840"/>
          <w:pgMar w:top="1701" w:right="1701" w:bottom="1701" w:left="2268" w:header="720" w:footer="720" w:gutter="0"/>
          <w:cols w:space="720"/>
          <w:docGrid w:linePitch="360"/>
          <w:pgNumType w:fmt="lowerRoman"/>
        </w:sectPr>
      </w:pPr>
    </w:p>
    <w:p>
      <w:bookmarkStart w:id="bm_indice" w:name="bm_indice"/>
      <w:pPr>
        <w:spacing w:before="1140" w:after="480"/>
        <w:jc w:val="center"/>
      </w:pPr>
      <w:r>
        <w:rPr>
          <w:rFonts w:ascii="Times New Roman" w:hAnsi="Times New Roman"/>
          <w:b/>
          <w:sz w:val="24"/>
        </w:rPr>
        <w:t>ÍNDICE DE CONTENIDO</w:t>
      </w:r>
      <w:bookmarkEnd w:id="bm_indice"/>
    </w:p>
    <w:p>
      <w:pPr>
        <w:sectPr>
          <w:footerReference w:type="default" r:id="rId28"/>
          <w:pgSz w:w="12240" w:h="15840"/>
          <w:pgMar w:top="1701" w:right="1701" w:bottom="1701" w:left="2268" w:header="720" w:footer="720" w:gutter="0"/>
          <w:cols w:space="720"/>
          <w:docGrid w:linePitch="360"/>
          <w:pgNumType w:fmt="lowerRoman"/>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9"/>
          <w:type w:val="continuous"/>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30"/>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31"/>
          <w:type w:val="continuous"/>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32"/>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33"/>
          <w:type w:val="continuous"/>
          <w:pgSz w:w="12240" w:h="15840"/>
          <w:pgMar w:top="1701" w:right="1701" w:bottom="1701" w:left="2268" w:header="720" w:footer="720" w:gutter="0"/>
          <w:cols w:space="720"/>
          <w:docGrid w:linePitch="360"/>
          <w:pgNumType w:fmt="lowerRoman"/>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4"/>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Flujograma AS-IS del proceso actual de procura</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Flujograma TO-BE del proceso simplificado propuesto</w:t>
        <w:tab/>
      </w:r>
      <w:r>
        <w:rPr>
          <w:rFonts w:ascii="Times New Roman" w:hAnsi="Times New Roman"/>
          <w:b w:val="0"/>
          <w:sz w:val="24"/>
        </w:rPr>
        <w:fldChar w:fldCharType="begin"/>
        <w:instrText xml:space="preserve"> PAGEREF bm_anexoC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D</w:t>
        <w:tab/>
        <w:t>Swimlane del proceso propuesto de procura</w:t>
        <w:tab/>
      </w:r>
      <w:r>
        <w:rPr>
          <w:rFonts w:ascii="Times New Roman" w:hAnsi="Times New Roman"/>
          <w:b w:val="0"/>
          <w:sz w:val="24"/>
        </w:rPr>
        <w:fldChar w:fldCharType="begin"/>
        <w:instrText xml:space="preserve"> PAGEREF bm_anexoD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E</w:t>
        <w:tab/>
        <w:t>SIPOC del proceso de procura</w:t>
        <w:tab/>
      </w:r>
      <w:r>
        <w:rPr>
          <w:rFonts w:ascii="Times New Roman" w:hAnsi="Times New Roman"/>
          <w:b w:val="0"/>
          <w:sz w:val="24"/>
        </w:rPr>
        <w:fldChar w:fldCharType="begin"/>
        <w:instrText xml:space="preserve"> PAGEREF bm_anexoE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F</w:t>
        <w:tab/>
        <w:t>Matriz RACI propuesta del proceso de procura</w:t>
        <w:tab/>
      </w:r>
      <w:r>
        <w:rPr>
          <w:rFonts w:ascii="Times New Roman" w:hAnsi="Times New Roman"/>
          <w:b w:val="0"/>
          <w:sz w:val="24"/>
        </w:rPr>
        <w:fldChar w:fldCharType="begin"/>
        <w:instrText xml:space="preserve"> PAGEREF bm_anexoF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G</w:t>
        <w:tab/>
        <w:t>Diagrama de Ishikawa definitivo de las causas asociadas a las demoras y pérdida de trazabilidad del proceso de procura</w:t>
        <w:tab/>
      </w:r>
      <w:r>
        <w:rPr>
          <w:rFonts w:ascii="Times New Roman" w:hAnsi="Times New Roman"/>
          <w:b w:val="0"/>
          <w:sz w:val="24"/>
        </w:rPr>
        <w:fldChar w:fldCharType="begin"/>
        <w:instrText xml:space="preserve"> PAGEREF bm_anexoG \h </w:instrText>
        <w:fldChar w:fldCharType="separate"/>
        <w:t>?</w:t>
        <w:fldChar w:fldCharType="end"/>
      </w:r>
    </w:p>
    <w:p>
      <w:pPr>
        <w:sectPr>
          <w:footerReference w:type="default" r:id="rId35"/>
          <w:type w:val="continuous"/>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pPr>
    </w:p>
    <w:p>
      <w:pPr>
        <w:spacing w:line="240" w:lineRule="auto" w:after="120"/>
        <w:jc w:val="center"/>
      </w:pPr>
      <w:r>
        <w:rPr>
          <w:rFonts w:ascii="Times New Roman" w:hAnsi="Times New Roman"/>
          <w:b/>
          <w:sz w:val="24"/>
        </w:rPr>
        <w:t>PROPUESTA DE SIMPLIFICACIÓN ADMINISTRATIVA DE LA PROCURA EN LUBRICANTES Y EQUIPOS VARYNA, C.A.</w:t>
      </w:r>
    </w:p>
    <w:p>
      <w:pPr>
        <w:spacing w:line="240" w:lineRule="auto" w:after="12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line="240" w:lineRule="auto" w:before="120" w:after="120"/>
        <w:jc w:val="center"/>
      </w:pPr>
      <w:r>
        <w:rPr>
          <w:rFonts w:ascii="Times New Roman" w:hAnsi="Times New Roman"/>
          <w:b/>
          <w:sz w:val="24"/>
        </w:rPr>
        <w:t>RESUMEN</w:t>
      </w:r>
      <w:bookmarkEnd w:id="bm_resumen"/>
    </w:p>
    <w:p>
      <w:pPr>
        <w:sectPr>
          <w:footerReference w:type="default" r:id="rId36"/>
          <w:pgSz w:w="12240" w:h="15840"/>
          <w:pgMar w:top="1701" w:right="1701" w:bottom="1701" w:left="2268" w:header="720" w:footer="720" w:gutter="0"/>
          <w:cols w:space="720"/>
          <w:docGrid w:linePitch="360"/>
          <w:pgNumType w:fmt="lowerRoman"/>
        </w:sectPr>
      </w:pPr>
    </w:p>
    <w:p>
      <w:pPr>
        <w:spacing w:line="240" w:lineRule="auto" w:before="0" w:after="0"/>
        <w:ind w:firstLine="709"/>
        <w:jc w:val="both"/>
      </w:pPr>
      <w:r>
        <w:rPr>
          <w:rFonts w:ascii="Times New Roman" w:hAnsi="Times New Roman"/>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37"/>
          <w:type w:val="continuous"/>
          <w:pgSz w:w="12240" w:h="15840"/>
          <w:pgMar w:top="1701" w:right="1701" w:bottom="1701" w:left="2268" w:header="720" w:footer="720" w:gutter="0"/>
          <w:cols w:space="720"/>
          <w:docGrid w:linePitch="360"/>
          <w:pgNumType w:fmt="lowerRoman"/>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8"/>
          <w:footerReference w:type="first" r:id="rId39"/>
          <w:pgSz w:w="12240" w:h="15840"/>
          <w:pgMar w:top="1701" w:right="1701" w:bottom="1701" w:left="2268" w:header="720" w:footer="720" w:gutter="0"/>
          <w:cols w:space="720"/>
          <w:titlePg/>
          <w:docGrid w:linePitch="360"/>
          <w:pgNumType w:fmt="decimal" w:start="1"/>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40"/>
          <w:footerReference w:type="first" r:id="rId41"/>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42"/>
          <w:footerReference w:type="first" r:id="rId43"/>
          <w:pgSz w:w="12240" w:h="15840"/>
          <w:pgMar w:top="1701" w:right="1701" w:bottom="1701" w:left="2268" w:header="720" w:footer="720" w:gutter="0"/>
          <w:cols w:space="720"/>
          <w:titlePg/>
          <w:docGrid w:linePitch="360"/>
          <w:pgNumType w:fmt="decimal"/>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Alta Dirección</w:t>
            </w:r>
          </w:p>
        </w:tc>
        <w:tc>
          <w:tcPr>
            <w:tcW w:type="dxa" w:w="2886"/>
          </w:tcPr>
          <w:p>
            <w:pPr>
              <w:spacing w:line="240" w:lineRule="auto" w:before="40" w:after="40"/>
              <w:jc w:val="left"/>
            </w:pPr>
            <w:r/>
            <w:r>
              <w:rPr>
                <w:rFonts w:ascii="Times New Roman" w:hAnsi="Times New Roman"/>
                <w:sz w:val="20"/>
              </w:rPr>
              <w:t>Gerente General</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Dirección Operativa</w:t>
            </w:r>
          </w:p>
        </w:tc>
        <w:tc>
          <w:tcPr>
            <w:tcW w:type="dxa" w:w="2886"/>
          </w:tcPr>
          <w:p>
            <w:pPr>
              <w:spacing w:line="240" w:lineRule="auto" w:before="40" w:after="40"/>
              <w:jc w:val="left"/>
            </w:pPr>
            <w:r/>
            <w:r>
              <w:rPr>
                <w:rFonts w:ascii="Times New Roman" w:hAnsi="Times New Roman"/>
                <w:sz w:val="20"/>
              </w:rPr>
              <w:t>Gerente de Operaciones</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Control y Avance</w:t>
            </w:r>
          </w:p>
        </w:tc>
        <w:tc>
          <w:tcPr>
            <w:tcW w:type="dxa" w:w="2886"/>
          </w:tcPr>
          <w:p>
            <w:pPr>
              <w:spacing w:line="240" w:lineRule="auto" w:before="40" w:after="40"/>
              <w:jc w:val="left"/>
            </w:pPr>
            <w:r/>
            <w:r>
              <w:rPr>
                <w:rFonts w:ascii="Times New Roman" w:hAnsi="Times New Roman"/>
                <w:sz w:val="20"/>
              </w:rPr>
              <w:t>Gerente / Operaciones Morichal</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Administración (Área de Pasantía)</w:t>
            </w:r>
          </w:p>
        </w:tc>
        <w:tc>
          <w:tcPr>
            <w:tcW w:type="dxa" w:w="2886"/>
          </w:tcPr>
          <w:p>
            <w:pPr>
              <w:spacing w:line="240" w:lineRule="auto" w:before="40" w:after="40"/>
              <w:jc w:val="left"/>
            </w:pPr>
            <w:r/>
            <w:r>
              <w:rPr>
                <w:rFonts w:ascii="Times New Roman" w:hAnsi="Times New Roman"/>
                <w:sz w:val="20"/>
              </w:rPr>
              <w:t>Administración / Asistentes Administrativos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Control de Avance, Logística y Compras (Procura)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Operarios, Sup. Patio, Mantenimiento y Logística</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Contratación y Adm. Contratos</w:t>
            </w:r>
          </w:p>
        </w:tc>
        <w:tc>
          <w:tcPr>
            <w:tcW w:type="dxa" w:w="2886"/>
          </w:tcPr>
          <w:p>
            <w:pPr>
              <w:spacing w:line="240" w:lineRule="auto" w:before="40" w:after="40"/>
              <w:jc w:val="left"/>
            </w:pPr>
            <w:r/>
            <w:r>
              <w:rPr>
                <w:rFonts w:ascii="Times New Roman" w:hAnsi="Times New Roman"/>
                <w:sz w:val="20"/>
              </w:rPr>
              <w:t>Gerente / Estimadores, Administradores, Planificadores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Recursos Humanos</w:t>
            </w:r>
          </w:p>
        </w:tc>
        <w:tc>
          <w:tcPr>
            <w:tcW w:type="dxa" w:w="2886"/>
          </w:tcPr>
          <w:p>
            <w:pPr>
              <w:spacing w:line="240" w:lineRule="auto" w:before="40" w:after="40"/>
              <w:jc w:val="left"/>
            </w:pPr>
            <w:r/>
            <w:r>
              <w:rPr>
                <w:rFonts w:ascii="Times New Roman" w:hAnsi="Times New Roman"/>
                <w:sz w:val="20"/>
              </w:rPr>
              <w:t>Gerente de RRHH-Laborales / Asistentes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Proyectos y Producción</w:t>
            </w:r>
          </w:p>
        </w:tc>
        <w:tc>
          <w:tcPr>
            <w:tcW w:type="dxa" w:w="2886"/>
          </w:tcPr>
          <w:p>
            <w:pPr>
              <w:spacing w:line="240" w:lineRule="auto" w:before="40" w:after="40"/>
              <w:jc w:val="left"/>
            </w:pPr>
            <w:r/>
            <w:r>
              <w:rPr>
                <w:rFonts w:ascii="Times New Roman" w:hAnsi="Times New Roman"/>
                <w:sz w:val="20"/>
              </w:rPr>
              <w:t>Gerentes de Proyecto, Optimización y Servicios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Gerente Metalmecánico</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Ingeniería y Campo</w:t>
            </w:r>
          </w:p>
        </w:tc>
        <w:tc>
          <w:tcPr>
            <w:tcW w:type="dxa" w:w="2886"/>
          </w:tcPr>
          <w:p>
            <w:pPr>
              <w:spacing w:line="240" w:lineRule="auto" w:before="40" w:after="40"/>
              <w:jc w:val="left"/>
            </w:pPr>
            <w:r/>
            <w:r>
              <w:rPr>
                <w:rFonts w:ascii="Times New Roman" w:hAnsi="Times New Roman"/>
                <w:sz w:val="20"/>
              </w:rPr>
              <w:t>Ingenieros Residentes / Coordinadores (SIHO-A,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c>
          <w:tcPr>
            <w:tcW w:type="dxa" w:w="1134"/>
          </w:tcPr>
          <w:p>
            <w:pPr>
              <w:spacing w:line="240" w:lineRule="auto" w:before="40" w:after="40"/>
              <w:jc w:val="center"/>
            </w:pPr>
            <w:r/>
            <w:r>
              <w:rPr>
                <w:rFonts w:ascii="Times New Roman" w:hAnsi="Times New Roman"/>
                <w:sz w:val="20"/>
              </w:rPr>
              <w:t>5</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Inspectores (SIHO, Ambiente, Paramédicos,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4</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Supervisor de Obras, Operadores, Chóferes, Soldadores, Obreros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10</w:t>
            </w:r>
          </w:p>
        </w:tc>
        <w:tc>
          <w:tcPr>
            <w:tcW w:type="dxa" w:w="1134"/>
          </w:tcPr>
          <w:p>
            <w:pPr>
              <w:spacing w:line="240" w:lineRule="auto" w:before="40" w:after="40"/>
              <w:jc w:val="center"/>
            </w:pPr>
            <w:r/>
            <w:r>
              <w:rPr>
                <w:rFonts w:ascii="Times New Roman" w:hAnsi="Times New Roman"/>
                <w:sz w:val="20"/>
              </w:rPr>
              <w:t>11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14</w:t>
            </w:r>
          </w:p>
        </w:tc>
        <w:tc>
          <w:tcPr>
            <w:tcW w:type="dxa" w:w="1134"/>
          </w:tcPr>
          <w:p>
            <w:pPr>
              <w:spacing w:line="240" w:lineRule="auto" w:before="40" w:after="40"/>
              <w:jc w:val="center"/>
            </w:pPr>
            <w:r/>
            <w:r>
              <w:rPr>
                <w:rFonts w:ascii="Times New Roman" w:hAnsi="Times New Roman"/>
                <w:sz w:val="20"/>
              </w:rPr>
              <w:t>28</w:t>
            </w:r>
          </w:p>
        </w:tc>
        <w:tc>
          <w:tcPr>
            <w:tcW w:type="dxa" w:w="1134"/>
          </w:tcPr>
          <w:p>
            <w:pPr>
              <w:spacing w:line="240" w:lineRule="auto" w:before="40" w:after="40"/>
              <w:jc w:val="center"/>
            </w:pPr>
            <w:r/>
            <w:r>
              <w:rPr>
                <w:rFonts w:ascii="Times New Roman" w:hAnsi="Times New Roman"/>
                <w:sz w:val="20"/>
              </w:rPr>
              <w:t>42</w:t>
            </w:r>
          </w:p>
        </w:tc>
      </w:tr>
    </w:tbl>
    <w:p>
      <w:pPr>
        <w:spacing w:before="120" w:line="240" w:lineRule="auto"/>
      </w:pPr>
      <w:r>
        <w:rPr>
          <w:rFonts w:ascii="Times New Roman" w:hAnsi="Times New Roman"/>
          <w:i/>
          <w:sz w:val="20"/>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spacing w:before="480"/>
        <w:jc w:val="center"/>
      </w:pPr>
      <w:r>
        <w:drawing>
          <wp:inline xmlns:a="http://schemas.openxmlformats.org/drawingml/2006/main" xmlns:pic="http://schemas.openxmlformats.org/drawingml/2006/picture">
            <wp:extent cx="4320000" cy="2603179"/>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bookmarkStart w:id="bm_cap1_departamento" w:name="bm_cap1_departamento"/>
      <w:pPr>
        <w:spacing w:before="480" w:after="480" w:line="360" w:lineRule="auto"/>
        <w:jc w:val="left"/>
      </w:pPr>
      <w:r>
        <w:rPr>
          <w:rFonts w:ascii="Times New Roman" w:hAnsi="Times New Roman"/>
          <w:b/>
          <w:sz w:val="24"/>
        </w:rPr>
        <w:t>Descripción del departamento donde realizó la pasantía</w:t>
      </w:r>
      <w:bookmarkEnd w:id="bm_cap1_departamento"/>
    </w:p>
    <w:p>
      <w:pPr>
        <w:spacing w:line="360" w:lineRule="auto" w:after="0" w:before="0"/>
        <w:ind w:firstLine="709"/>
        <w:jc w:val="both"/>
      </w:pPr>
      <w:r>
        <w:rPr>
          <w:rFonts w:ascii="Times New Roman" w:hAnsi="Times New Roman"/>
          <w:i w:val="0"/>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sectPr>
          <w:footerReference w:type="default" r:id="rId44"/>
          <w:footerReference w:type="first" r:id="rId45"/>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46"/>
          <w:footerReference w:type="first" r:id="rId47"/>
          <w:pgSz w:w="12240" w:h="15840"/>
          <w:pgMar w:top="1701" w:right="1701" w:bottom="1701" w:left="2268" w:header="720" w:footer="720" w:gutter="0"/>
          <w:cols w:space="720"/>
          <w:titlePg/>
          <w:docGrid w:linePitch="360"/>
          <w:pgNumType w:fmt="decimal"/>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bl>
    <w:p>
      <w:pPr>
        <w:sectPr>
          <w:footerReference w:type="default" r:id="rId48"/>
          <w:footerReference w:type="first" r:id="rId49"/>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50"/>
          <w:footerReference w:type="first" r:id="rId51"/>
          <w:pgSz w:w="12240" w:h="15840"/>
          <w:pgMar w:top="1701" w:right="1701" w:bottom="1701" w:left="2268" w:header="720" w:footer="720" w:gutter="0"/>
          <w:cols w:space="720"/>
          <w:titlePg/>
          <w:docGrid w:linePitch="360"/>
          <w:pgNumType w:fmt="decimal"/>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52"/>
          <w:footerReference w:type="first" r:id="rId53"/>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54"/>
          <w:footerReference w:type="first" r:id="rId55"/>
          <w:pgSz w:w="12240" w:h="15840"/>
          <w:pgMar w:top="1701" w:right="1701" w:bottom="1701" w:left="2268" w:header="720" w:footer="720" w:gutter="0"/>
          <w:cols w:space="720"/>
          <w:titlePg/>
          <w:docGrid w:linePitch="360"/>
          <w:pgNumType w:fmt="decimal"/>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56"/>
          <w:footerReference w:type="first" r:id="rId57"/>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58"/>
          <w:footerReference w:type="first" r:id="rId59"/>
          <w:pgSz w:w="12240" w:h="15840"/>
          <w:pgMar w:top="1701" w:right="1701" w:bottom="1701" w:left="2268" w:header="720" w:footer="720" w:gutter="0"/>
          <w:cols w:space="720"/>
          <w:titlePg/>
          <w:docGrid w:linePitch="360"/>
          <w:pgNumType w:fmt="decimal"/>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sectPr>
          <w:footerReference w:type="default" r:id="rId60"/>
          <w:footerReference w:type="first" r:id="rId61"/>
          <w:type w:val="continuous"/>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62"/>
          <w:footerReference w:type="first" r:id="rId63"/>
          <w:pgSz w:w="12240" w:h="15840"/>
          <w:pgMar w:top="1701" w:right="1701" w:bottom="1701" w:left="2268" w:header="720" w:footer="720" w:gutter="0"/>
          <w:cols w:space="720"/>
          <w:titlePg/>
          <w:docGrid w:linePitch="360"/>
          <w:pgNumType w:fmt="decimal"/>
        </w:sectPr>
      </w:pPr>
    </w:p>
    <w:p>
      <w:pPr>
        <w:spacing w:before="480" w:after="0"/>
      </w:pP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64"/>
          <w:footerReference w:type="first" r:id="rId65"/>
          <w:type w:val="continuous"/>
          <w:pgSz w:w="12240" w:h="15840"/>
          <w:pgMar w:top="1701" w:right="1701" w:bottom="1701" w:left="2268" w:header="720" w:footer="720" w:gutter="0"/>
          <w:cols w:space="720"/>
          <w:titlePg/>
          <w:docGrid w:linePitch="360"/>
          <w:pgNumType w:fmt="decimal"/>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66"/>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jc w:val="center"/>
      </w:pPr>
      <w:r>
        <w:drawing>
          <wp:inline xmlns:a="http://schemas.openxmlformats.org/drawingml/2006/main" xmlns:pic="http://schemas.openxmlformats.org/drawingml/2006/picture">
            <wp:extent cx="4680000" cy="778671"/>
            <wp:docPr id="5" name="Picture 5"/>
            <wp:cNvGraphicFramePr>
              <a:graphicFrameLocks noChangeAspect="1"/>
            </wp:cNvGraphicFramePr>
            <a:graphic>
              <a:graphicData uri="http://schemas.openxmlformats.org/drawingml/2006/picture">
                <pic:pic>
                  <pic:nvPicPr>
                    <pic:cNvPr id="0" name="01_ishikawa_demoras_procura.png"/>
                    <pic:cNvPicPr/>
                  </pic:nvPicPr>
                  <pic:blipFill>
                    <a:blip r:embed="rId13"/>
                    <a:stretch>
                      <a:fillRect/>
                    </a:stretch>
                  </pic:blipFill>
                  <pic:spPr>
                    <a:xfrm>
                      <a:off x="0" y="0"/>
                      <a:ext cx="4680000" cy="778671"/>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67"/>
          <w:pgSz w:w="12240" w:h="15840"/>
          <w:pgMar w:top="1701" w:right="1701" w:bottom="1701" w:left="2268" w:header="720" w:footer="720" w:gutter="0"/>
          <w:cols w:space="720"/>
          <w:docGrid w:linePitch="360"/>
          <w:pgNumType w:fmt="decimal"/>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[Flujograma AS-IS del proceso actual de procura]</w:t>
      </w:r>
    </w:p>
    <w:p>
      <w:pPr>
        <w:jc w:val="center"/>
      </w:pPr>
      <w:r>
        <w:drawing>
          <wp:inline xmlns:a="http://schemas.openxmlformats.org/drawingml/2006/main" xmlns:pic="http://schemas.openxmlformats.org/drawingml/2006/picture">
            <wp:extent cx="2763891" cy="5400000"/>
            <wp:docPr id="6" name="Picture 6"/>
            <wp:cNvGraphicFramePr>
              <a:graphicFrameLocks noChangeAspect="1"/>
            </wp:cNvGraphicFramePr>
            <a:graphic>
              <a:graphicData uri="http://schemas.openxmlformats.org/drawingml/2006/picture">
                <pic:pic>
                  <pic:nvPicPr>
                    <pic:cNvPr id="0" name="02_flujo_as_is_procura.png"/>
                    <pic:cNvPicPr/>
                  </pic:nvPicPr>
                  <pic:blipFill>
                    <a:blip r:embed="rId14"/>
                    <a:stretch>
                      <a:fillRect/>
                    </a:stretch>
                  </pic:blipFill>
                  <pic:spPr>
                    <a:xfrm>
                      <a:off x="0" y="0"/>
                      <a:ext cx="2763891"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68"/>
          <w:pgSz w:w="12240" w:h="15840"/>
          <w:pgMar w:top="1701" w:right="1701" w:bottom="1701" w:left="2268" w:header="720" w:footer="720" w:gutter="0"/>
          <w:cols w:space="720"/>
          <w:docGrid w:linePitch="360"/>
          <w:pgNumType w:fmt="decimal"/>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[Flujograma TO-BE del proceso simplificado propuesto]</w:t>
      </w:r>
    </w:p>
    <w:p>
      <w:pPr>
        <w:jc w:val="center"/>
      </w:pPr>
      <w:r>
        <w:drawing>
          <wp:inline xmlns:a="http://schemas.openxmlformats.org/drawingml/2006/main" xmlns:pic="http://schemas.openxmlformats.org/drawingml/2006/picture">
            <wp:extent cx="2205488" cy="5400000"/>
            <wp:docPr id="7" name="Picture 7"/>
            <wp:cNvGraphicFramePr>
              <a:graphicFrameLocks noChangeAspect="1"/>
            </wp:cNvGraphicFramePr>
            <a:graphic>
              <a:graphicData uri="http://schemas.openxmlformats.org/drawingml/2006/picture">
                <pic:pic>
                  <pic:nvPicPr>
                    <pic:cNvPr id="0" name="03_flujo_to_be_procura.png"/>
                    <pic:cNvPicPr/>
                  </pic:nvPicPr>
                  <pic:blipFill>
                    <a:blip r:embed="rId15"/>
                    <a:stretch>
                      <a:fillRect/>
                    </a:stretch>
                  </pic:blipFill>
                  <pic:spPr>
                    <a:xfrm>
                      <a:off x="0" y="0"/>
                      <a:ext cx="2205488"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69"/>
          <w:pgSz w:w="12240" w:h="15840"/>
          <w:pgMar w:top="1701" w:right="1701" w:bottom="1701" w:left="2268" w:header="720" w:footer="720" w:gutter="0"/>
          <w:cols w:space="720"/>
          <w:docGrid w:linePitch="360"/>
          <w:pgNumType w:fmt="decimal"/>
        </w:sectPr>
      </w:pPr>
    </w:p>
    <w:p>
      <w:bookmarkStart w:id="bm_anexoD" w:name="bm_anexoD"/>
      <w:pPr>
        <w:spacing w:before="0" w:after="480"/>
        <w:jc w:val="center"/>
      </w:pPr>
      <w:bookmarkEnd w:id="bm_anexoD"/>
      <w:r>
        <w:rPr>
          <w:rFonts w:ascii="Times New Roman" w:hAnsi="Times New Roman"/>
          <w:b/>
          <w:sz w:val="24"/>
        </w:rPr>
        <w:t>ANEXO D</w:t>
      </w:r>
    </w:p>
    <w:p>
      <w:pPr>
        <w:spacing w:before="240" w:after="480"/>
        <w:jc w:val="center"/>
      </w:pPr>
      <w:r>
        <w:rPr>
          <w:rFonts w:ascii="Times New Roman" w:hAnsi="Times New Roman"/>
          <w:b/>
          <w:sz w:val="24"/>
        </w:rPr>
        <w:t>[Swimlane del proceso propuesto de procura]</w:t>
      </w:r>
    </w:p>
    <w:p>
      <w:pPr>
        <w:jc w:val="center"/>
      </w:pPr>
      <w:r>
        <w:drawing>
          <wp:inline xmlns:a="http://schemas.openxmlformats.org/drawingml/2006/main" xmlns:pic="http://schemas.openxmlformats.org/drawingml/2006/picture">
            <wp:extent cx="5040000" cy="4543987"/>
            <wp:docPr id="8" name="Picture 8"/>
            <wp:cNvGraphicFramePr>
              <a:graphicFrameLocks noChangeAspect="1"/>
            </wp:cNvGraphicFramePr>
            <a:graphic>
              <a:graphicData uri="http://schemas.openxmlformats.org/drawingml/2006/picture">
                <pic:pic>
                  <pic:nvPicPr>
                    <pic:cNvPr id="0" name="04_swimlane_procura.png"/>
                    <pic:cNvPicPr/>
                  </pic:nvPicPr>
                  <pic:blipFill>
                    <a:blip r:embed="rId16"/>
                    <a:stretch>
                      <a:fillRect/>
                    </a:stretch>
                  </pic:blipFill>
                  <pic:spPr>
                    <a:xfrm>
                      <a:off x="0" y="0"/>
                      <a:ext cx="5040000" cy="4543987"/>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0"/>
          <w:pgSz w:w="12240" w:h="15840"/>
          <w:pgMar w:top="1701" w:right="1701" w:bottom="1701" w:left="2268" w:header="720" w:footer="720" w:gutter="0"/>
          <w:cols w:space="720"/>
          <w:docGrid w:linePitch="360"/>
          <w:pgNumType w:fmt="decimal"/>
        </w:sectPr>
      </w:pPr>
    </w:p>
    <w:p>
      <w:bookmarkStart w:id="bm_anexoE" w:name="bm_anexoE"/>
      <w:pPr>
        <w:spacing w:before="0" w:after="480"/>
        <w:jc w:val="center"/>
      </w:pPr>
      <w:bookmarkEnd w:id="bm_anexoE"/>
      <w:r>
        <w:rPr>
          <w:rFonts w:ascii="Times New Roman" w:hAnsi="Times New Roman"/>
          <w:b/>
          <w:sz w:val="24"/>
        </w:rPr>
        <w:t>ANEXO E</w:t>
      </w:r>
    </w:p>
    <w:p>
      <w:pPr>
        <w:spacing w:before="240" w:after="480"/>
        <w:jc w:val="center"/>
      </w:pPr>
      <w:r>
        <w:rPr>
          <w:rFonts w:ascii="Times New Roman" w:hAnsi="Times New Roman"/>
          <w:b/>
          <w:sz w:val="24"/>
        </w:rPr>
        <w:t>[SIPOC del proceso de procura]</w:t>
      </w:r>
    </w:p>
    <w:p>
      <w:pPr>
        <w:jc w:val="center"/>
      </w:pPr>
      <w:r>
        <w:drawing>
          <wp:inline xmlns:a="http://schemas.openxmlformats.org/drawingml/2006/main" xmlns:pic="http://schemas.openxmlformats.org/drawingml/2006/picture">
            <wp:extent cx="4397917" cy="5040000"/>
            <wp:docPr id="9" name="Picture 9"/>
            <wp:cNvGraphicFramePr>
              <a:graphicFrameLocks noChangeAspect="1"/>
            </wp:cNvGraphicFramePr>
            <a:graphic>
              <a:graphicData uri="http://schemas.openxmlformats.org/drawingml/2006/picture">
                <pic:pic>
                  <pic:nvPicPr>
                    <pic:cNvPr id="0" name="05_sipoc_procura.png"/>
                    <pic:cNvPicPr/>
                  </pic:nvPicPr>
                  <pic:blipFill>
                    <a:blip r:embed="rId17"/>
                    <a:stretch>
                      <a:fillRect/>
                    </a:stretch>
                  </pic:blipFill>
                  <pic:spPr>
                    <a:xfrm>
                      <a:off x="0" y="0"/>
                      <a:ext cx="4397917" cy="504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1"/>
          <w:pgSz w:w="12240" w:h="15840"/>
          <w:pgMar w:top="1701" w:right="1701" w:bottom="1701" w:left="2268" w:header="720" w:footer="720" w:gutter="0"/>
          <w:cols w:space="720"/>
          <w:docGrid w:linePitch="360"/>
          <w:pgNumType w:fmt="decimal"/>
        </w:sectPr>
      </w:pPr>
    </w:p>
    <w:p>
      <w:bookmarkStart w:id="bm_anexoF" w:name="bm_anexoF"/>
      <w:pPr>
        <w:spacing w:before="0" w:after="480"/>
        <w:jc w:val="center"/>
      </w:pPr>
      <w:bookmarkEnd w:id="bm_anexoF"/>
      <w:r>
        <w:rPr>
          <w:rFonts w:ascii="Times New Roman" w:hAnsi="Times New Roman"/>
          <w:b/>
          <w:sz w:val="24"/>
        </w:rPr>
        <w:t>ANEXO F</w:t>
      </w:r>
    </w:p>
    <w:p>
      <w:pPr>
        <w:spacing w:before="240" w:after="480"/>
        <w:jc w:val="center"/>
      </w:pPr>
      <w:r>
        <w:rPr>
          <w:rFonts w:ascii="Times New Roman" w:hAnsi="Times New Roman"/>
          <w:b/>
          <w:sz w:val="24"/>
        </w:rPr>
        <w:t>[Matriz RACI propuesta del proceso de procura]</w:t>
      </w:r>
    </w:p>
    <w:p>
      <w:pPr>
        <w:jc w:val="center"/>
      </w:pPr>
      <w:r>
        <w:drawing>
          <wp:inline xmlns:a="http://schemas.openxmlformats.org/drawingml/2006/main" xmlns:pic="http://schemas.openxmlformats.org/drawingml/2006/picture">
            <wp:extent cx="5040000" cy="1349827"/>
            <wp:docPr id="10" name="Picture 10"/>
            <wp:cNvGraphicFramePr>
              <a:graphicFrameLocks noChangeAspect="1"/>
            </wp:cNvGraphicFramePr>
            <a:graphic>
              <a:graphicData uri="http://schemas.openxmlformats.org/drawingml/2006/picture">
                <pic:pic>
                  <pic:nvPicPr>
                    <pic:cNvPr id="0" name="06_matriz_raci_propuesta.png"/>
                    <pic:cNvPicPr/>
                  </pic:nvPicPr>
                  <pic:blipFill>
                    <a:blip r:embed="rId18"/>
                    <a:stretch>
                      <a:fillRect/>
                    </a:stretch>
                  </pic:blipFill>
                  <pic:spPr>
                    <a:xfrm>
                      <a:off x="0" y="0"/>
                      <a:ext cx="5040000" cy="1349827"/>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2"/>
          <w:pgSz w:w="12240" w:h="15840"/>
          <w:pgMar w:top="1701" w:right="1701" w:bottom="1701" w:left="2268" w:header="720" w:footer="720" w:gutter="0"/>
          <w:cols w:space="720"/>
          <w:docGrid w:linePitch="360"/>
          <w:pgNumType w:fmt="decimal"/>
        </w:sectPr>
      </w:pPr>
    </w:p>
    <w:p>
      <w:bookmarkStart w:id="bm_anexoG" w:name="bm_anexoG"/>
      <w:pPr>
        <w:spacing w:before="0" w:after="480"/>
        <w:jc w:val="center"/>
      </w:pPr>
      <w:bookmarkEnd w:id="bm_anexoG"/>
      <w:r>
        <w:rPr>
          <w:rFonts w:ascii="Times New Roman" w:hAnsi="Times New Roman"/>
          <w:b/>
          <w:sz w:val="24"/>
        </w:rPr>
        <w:t>ANEXO G</w:t>
      </w:r>
    </w:p>
    <w:p>
      <w:pPr>
        <w:spacing w:before="240" w:after="480"/>
        <w:jc w:val="center"/>
      </w:pPr>
      <w:r>
        <w:rPr>
          <w:rFonts w:ascii="Times New Roman" w:hAnsi="Times New Roman"/>
          <w:b/>
          <w:sz w:val="24"/>
        </w:rPr>
        <w:t>[Diagrama de Ishikawa definitivo de las causas asociadas a las demoras y pérdida de trazabilidad del proceso de procura]</w:t>
      </w:r>
    </w:p>
    <w:p>
      <w:pPr>
        <w:jc w:val="center"/>
      </w:pPr>
      <w:r>
        <w:drawing>
          <wp:inline xmlns:a="http://schemas.openxmlformats.org/drawingml/2006/main" xmlns:pic="http://schemas.openxmlformats.org/drawingml/2006/picture">
            <wp:extent cx="5040000" cy="1524534"/>
            <wp:docPr id="11" name="Picture 11"/>
            <wp:cNvGraphicFramePr>
              <a:graphicFrameLocks noChangeAspect="1"/>
            </wp:cNvGraphicFramePr>
            <a:graphic>
              <a:graphicData uri="http://schemas.openxmlformats.org/drawingml/2006/picture">
                <pic:pic>
                  <pic:nvPicPr>
                    <pic:cNvPr id="0" name="ishikawa_keidy_procura.png"/>
                    <pic:cNvPicPr/>
                  </pic:nvPicPr>
                  <pic:blipFill>
                    <a:blip r:embed="rId19"/>
                    <a:stretch>
                      <a:fillRect/>
                    </a:stretch>
                  </pic:blipFill>
                  <pic:spPr>
                    <a:xfrm>
                      <a:off x="0" y="0"/>
                      <a:ext cx="5040000" cy="1524534"/>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sectPr w:rsidR="00FC693F" w:rsidRPr="0006063C" w:rsidSect="00034616">
      <w:footerReference w:type="default" r:id="rId73"/>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footer" Target="footer7.xml"/><Relationship Id="rId27" Type="http://schemas.openxmlformats.org/officeDocument/2006/relationships/footer" Target="footer8.xml"/><Relationship Id="rId28" Type="http://schemas.openxmlformats.org/officeDocument/2006/relationships/footer" Target="footer9.xml"/><Relationship Id="rId29" Type="http://schemas.openxmlformats.org/officeDocument/2006/relationships/footer" Target="footer10.xml"/><Relationship Id="rId30" Type="http://schemas.openxmlformats.org/officeDocument/2006/relationships/footer" Target="footer11.xml"/><Relationship Id="rId31" Type="http://schemas.openxmlformats.org/officeDocument/2006/relationships/footer" Target="footer12.xml"/><Relationship Id="rId32" Type="http://schemas.openxmlformats.org/officeDocument/2006/relationships/footer" Target="footer13.xml"/><Relationship Id="rId33" Type="http://schemas.openxmlformats.org/officeDocument/2006/relationships/footer" Target="footer14.xml"/><Relationship Id="rId34" Type="http://schemas.openxmlformats.org/officeDocument/2006/relationships/footer" Target="footer15.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footer" Target="footer19.xml"/><Relationship Id="rId39" Type="http://schemas.openxmlformats.org/officeDocument/2006/relationships/footer" Target="footer20.xml"/><Relationship Id="rId40" Type="http://schemas.openxmlformats.org/officeDocument/2006/relationships/footer" Target="footer21.xml"/><Relationship Id="rId41" Type="http://schemas.openxmlformats.org/officeDocument/2006/relationships/footer" Target="footer22.xml"/><Relationship Id="rId42" Type="http://schemas.openxmlformats.org/officeDocument/2006/relationships/footer" Target="footer23.xml"/><Relationship Id="rId43" Type="http://schemas.openxmlformats.org/officeDocument/2006/relationships/footer" Target="footer24.xml"/><Relationship Id="rId44" Type="http://schemas.openxmlformats.org/officeDocument/2006/relationships/footer" Target="footer25.xml"/><Relationship Id="rId45" Type="http://schemas.openxmlformats.org/officeDocument/2006/relationships/footer" Target="footer26.xml"/><Relationship Id="rId46" Type="http://schemas.openxmlformats.org/officeDocument/2006/relationships/footer" Target="footer27.xml"/><Relationship Id="rId47" Type="http://schemas.openxmlformats.org/officeDocument/2006/relationships/footer" Target="footer28.xml"/><Relationship Id="rId48" Type="http://schemas.openxmlformats.org/officeDocument/2006/relationships/footer" Target="footer29.xml"/><Relationship Id="rId49" Type="http://schemas.openxmlformats.org/officeDocument/2006/relationships/footer" Target="footer30.xml"/><Relationship Id="rId50" Type="http://schemas.openxmlformats.org/officeDocument/2006/relationships/footer" Target="footer31.xml"/><Relationship Id="rId51" Type="http://schemas.openxmlformats.org/officeDocument/2006/relationships/footer" Target="footer32.xml"/><Relationship Id="rId52" Type="http://schemas.openxmlformats.org/officeDocument/2006/relationships/footer" Target="footer33.xml"/><Relationship Id="rId53" Type="http://schemas.openxmlformats.org/officeDocument/2006/relationships/footer" Target="footer34.xml"/><Relationship Id="rId54" Type="http://schemas.openxmlformats.org/officeDocument/2006/relationships/footer" Target="footer35.xml"/><Relationship Id="rId55" Type="http://schemas.openxmlformats.org/officeDocument/2006/relationships/footer" Target="footer36.xml"/><Relationship Id="rId56" Type="http://schemas.openxmlformats.org/officeDocument/2006/relationships/footer" Target="footer37.xml"/><Relationship Id="rId57" Type="http://schemas.openxmlformats.org/officeDocument/2006/relationships/footer" Target="footer38.xml"/><Relationship Id="rId58" Type="http://schemas.openxmlformats.org/officeDocument/2006/relationships/footer" Target="footer39.xml"/><Relationship Id="rId59" Type="http://schemas.openxmlformats.org/officeDocument/2006/relationships/footer" Target="footer40.xml"/><Relationship Id="rId60" Type="http://schemas.openxmlformats.org/officeDocument/2006/relationships/footer" Target="footer41.xml"/><Relationship Id="rId61" Type="http://schemas.openxmlformats.org/officeDocument/2006/relationships/footer" Target="footer42.xml"/><Relationship Id="rId62" Type="http://schemas.openxmlformats.org/officeDocument/2006/relationships/footer" Target="footer43.xml"/><Relationship Id="rId63" Type="http://schemas.openxmlformats.org/officeDocument/2006/relationships/footer" Target="footer44.xml"/><Relationship Id="rId64" Type="http://schemas.openxmlformats.org/officeDocument/2006/relationships/footer" Target="footer45.xml"/><Relationship Id="rId65" Type="http://schemas.openxmlformats.org/officeDocument/2006/relationships/footer" Target="footer46.xml"/><Relationship Id="rId66" Type="http://schemas.openxmlformats.org/officeDocument/2006/relationships/footer" Target="footer47.xml"/><Relationship Id="rId67" Type="http://schemas.openxmlformats.org/officeDocument/2006/relationships/footer" Target="footer48.xml"/><Relationship Id="rId68" Type="http://schemas.openxmlformats.org/officeDocument/2006/relationships/footer" Target="footer49.xml"/><Relationship Id="rId69" Type="http://schemas.openxmlformats.org/officeDocument/2006/relationships/footer" Target="footer50.xml"/><Relationship Id="rId70" Type="http://schemas.openxmlformats.org/officeDocument/2006/relationships/footer" Target="footer51.xml"/><Relationship Id="rId71" Type="http://schemas.openxmlformats.org/officeDocument/2006/relationships/footer" Target="footer52.xml"/><Relationship Id="rId72" Type="http://schemas.openxmlformats.org/officeDocument/2006/relationships/footer" Target="footer53.xml"/><Relationship Id="rId73" Type="http://schemas.openxmlformats.org/officeDocument/2006/relationships/footer" Target="footer5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