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Martina Rondón</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4"/>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5"/>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18"/>
          <w:pgSz w:w="12240" w:h="15840"/>
          <w:pgMar w:top="1701" w:right="1701" w:bottom="1701" w:left="2268" w:header="720" w:footer="720" w:gutter="0"/>
          <w:cols w:space="720"/>
          <w:titlePg/>
          <w:docGrid w:linePitch="360"/>
        </w:sectPr>
      </w:pPr>
    </w:p>
    <w:p>
      <w:pPr>
        <w:sectPr>
          <w:footerReference w:type="default" r:id="rId19"/>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sectPr>
          <w:footerReference w:type="default" r:id="rId23"/>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4"/>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simplificación administrativa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simplificado,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simplificación administrativa, proceso administrativo, proyecto factible, pasantías.</w:t>
      </w:r>
    </w:p>
    <w:p>
      <w:pPr>
        <w:sectPr>
          <w:footerReference w:type="default" r:id="rId25"/>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la simplificación administrativa del proceso de procura en el departamento administrativo de Lubricantes y Equipos Varyna, C.A. La investigación parte del diagnóstico de las deficiencias actuales en el ciclo de adquisición de insumos y materiales, identificando los factores que generan retrasos operativos y complejidades innecesarias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8"/>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Departamento Administrativo de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2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0"/>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la complejidad y dispersión del flujo procedimental de la procura. En la actualidad, las solicitudes de compras de materiales e insumos críticos presentan marcados retrasos debido a la ausencia de un canal formalizado de recepción, lo que ocasiona que las requisiciones no sigan una ruta clara ni simplificada de procesamiento.</w:t>
      </w:r>
    </w:p>
    <w:p>
      <w:pPr>
        <w:spacing w:line="360" w:lineRule="auto" w:after="0" w:before="0"/>
        <w:ind w:firstLine="709"/>
        <w:jc w:val="both"/>
      </w:pPr>
      <w:r>
        <w:rPr>
          <w:rFonts w:ascii="Times New Roman" w:hAnsi="Times New Roman"/>
          <w:i w:val="0"/>
          <w:sz w:val="24"/>
        </w:rPr>
        <w:t>Esta falta de estandarización y simplificación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simplificación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reducir la complejidad procedimental,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los pasos y procedimientos susceptibles de simplificación.</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complejidades, redundancias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procedimientos innecesariamente complejos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simplificación administrativa que reduzca los pasos procedimentales,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 identificar los pasos susceptibles de simplificación.</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canales de recepción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compras y entrevistas al personal.</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entrevistas.</w:t>
            </w:r>
          </w:p>
        </w:tc>
        <w:tc>
          <w:tcPr>
            <w:tcW w:w="1695"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complejidades, redundancias y cuellos de botella en el seguimiento y aprobación.</w:t>
            </w:r>
          </w:p>
        </w:tc>
        <w:tc>
          <w:tcPr>
            <w:tcW w:w="1644" w:type="dxa"/>
            <w:shd w:val="clear" w:color="auto" w:fill="D9E1F2"/>
          </w:tcPr>
          <w:p>
            <w:pPr>
              <w:spacing w:before="60" w:after="60" w:line="240" w:lineRule="auto"/>
              <w:jc w:val="both"/>
            </w:pPr>
            <w:r>
              <w:rPr>
                <w:rFonts w:ascii="Times New Roman" w:hAnsi="Times New Roman"/>
                <w:b w:val="0"/>
                <w:color w:val="000000"/>
                <w:sz w:val="20"/>
              </w:rPr>
              <w:t>Tiempos de respuesta y etapas críticas del proceso de compras.</w:t>
            </w:r>
          </w:p>
        </w:tc>
        <w:tc>
          <w:tcPr>
            <w:tcW w:w="1644" w:type="dxa"/>
            <w:shd w:val="clear" w:color="auto" w:fill="D9E1F2"/>
          </w:tcPr>
          <w:p>
            <w:pPr>
              <w:spacing w:before="60" w:after="60" w:line="240" w:lineRule="auto"/>
              <w:jc w:val="both"/>
            </w:pPr>
            <w:r>
              <w:rPr>
                <w:rFonts w:ascii="Times New Roman" w:hAnsi="Times New Roman"/>
                <w:b w:val="0"/>
                <w:color w:val="000000"/>
                <w:sz w:val="20"/>
              </w:rPr>
              <w:t>Revisión de expedientes históricos y detección de fases duplicadas.</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y revisión de tiempos.</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procedimientos innecesariamente complejos.</w:t>
            </w:r>
          </w:p>
        </w:tc>
        <w:tc>
          <w:tcPr>
            <w:tcW w:w="1644" w:type="dxa"/>
            <w:shd w:val="clear" w:color="auto" w:fill="FFFFFF"/>
          </w:tcPr>
          <w:p>
            <w:pPr>
              <w:spacing w:before="60" w:after="60" w:line="240" w:lineRule="auto"/>
              <w:jc w:val="both"/>
            </w:pPr>
            <w:r>
              <w:rPr>
                <w:rFonts w:ascii="Times New Roman" w:hAnsi="Times New Roman"/>
                <w:b w:val="0"/>
                <w:color w:val="000000"/>
                <w:sz w:val="20"/>
              </w:rPr>
              <w:t>Factores determinantes de demoras y redundancias.</w:t>
            </w:r>
          </w:p>
        </w:tc>
        <w:tc>
          <w:tcPr>
            <w:tcW w:w="1644" w:type="dxa"/>
            <w:shd w:val="clear" w:color="auto" w:fill="FFFFFF"/>
          </w:tcPr>
          <w:p>
            <w:pPr>
              <w:spacing w:before="60" w:after="60" w:line="240" w:lineRule="auto"/>
              <w:jc w:val="both"/>
            </w:pPr>
            <w:r>
              <w:rPr>
                <w:rFonts w:ascii="Times New Roman" w:hAnsi="Times New Roman"/>
                <w:b w:val="0"/>
                <w:color w:val="000000"/>
                <w:sz w:val="20"/>
              </w:rPr>
              <w:t>Clasificación analítica de causas mediante mesas de trabajo con la administración.</w:t>
            </w:r>
          </w:p>
        </w:tc>
        <w:tc>
          <w:tcPr>
            <w:tcW w:w="1644" w:type="dxa"/>
            <w:shd w:val="clear" w:color="auto" w:fill="FFFFFF"/>
          </w:tcPr>
          <w:p>
            <w:pPr>
              <w:spacing w:before="60" w:after="60" w:line="240" w:lineRule="auto"/>
              <w:jc w:val="both"/>
            </w:pPr>
            <w:r>
              <w:rPr>
                <w:rFonts w:ascii="Times New Roman" w:hAnsi="Times New Roman"/>
                <w:b w:val="0"/>
                <w:color w:val="000000"/>
                <w:sz w:val="20"/>
              </w:rPr>
              <w:t>Diagrama causa-efecto y jerarquización de factores.</w:t>
            </w:r>
          </w:p>
        </w:tc>
        <w:tc>
          <w:tcPr>
            <w:tcW w:w="1695" w:type="dxa"/>
            <w:shd w:val="clear" w:color="auto" w:fill="FFFFFF"/>
          </w:tcPr>
          <w:p>
            <w:pPr>
              <w:spacing w:before="60" w:after="60" w:line="240" w:lineRule="auto"/>
              <w:jc w:val="both"/>
            </w:pPr>
            <w:r>
              <w:rPr>
                <w:rFonts w:ascii="Times New Roman" w:hAnsi="Times New Roman"/>
                <w:b w:val="0"/>
                <w:color w:val="000000"/>
                <w:sz w:val="20"/>
              </w:rPr>
              <w:t>Material de papelería, marco de control de procesos.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Diseñar una propuesta de simplificación administrativa para el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Flujo de trabajo y formatos de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Redacción del nuevo flujo simplificado y diseño de plantillas estandarizadas.</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estandarización de formatos.</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2"/>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En el contexto del departamento administrativo de Lubricantes y Equipos Varyna, C.A., la procura cumple un rol estratégico al garantizar la disponibilidad oportuna de insumos para las operaciones industriales y de campo. La ausencia de procedimientos formalizados en este ciclo genera interrupciones en la cadena de suministro interna, evidenciando la necesidad de una propuesta de optimización procedimental que estandarice cada fase del proceso de adquisición.</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before="480" w:after="480" w:line="360" w:lineRule="auto"/>
        <w:jc w:val="left"/>
      </w:pPr>
      <w:r>
        <w:rPr>
          <w:rFonts w:ascii="Times New Roman" w:hAnsi="Times New Roman"/>
          <w:b/>
          <w:sz w:val="24"/>
        </w:rPr>
        <w:t>Simplificación Administrativa de Procesos</w:t>
      </w:r>
    </w:p>
    <w:p>
      <w:pPr>
        <w:spacing w:line="360" w:lineRule="auto" w:after="0" w:before="0"/>
        <w:ind w:firstLine="709"/>
        <w:jc w:val="both"/>
      </w:pPr>
      <w:r>
        <w:rPr>
          <w:rFonts w:ascii="Times New Roman" w:hAnsi="Times New Roman"/>
          <w:i w:val="0"/>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spacing w:line="360" w:lineRule="auto" w:after="0" w:before="0"/>
        <w:ind w:firstLine="709"/>
        <w:jc w:val="both"/>
      </w:pPr>
      <w:r>
        <w:rPr>
          <w:rFonts w:ascii="Times New Roman" w:hAnsi="Times New Roman"/>
          <w:i w:val="0"/>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avanza hasta proponer y, en muchos casos, desarrollar la solución, demostrando su aplicabilidad en el contexto real. El presente trabajo se enmarca en esta modalidad al partir del diagnóstico del proceso de procura en Lubricantes y Equipos Varyna, C.A., para proponer un conjunto de mejoras procedimentales cuya implementación es técnica y operativamente viable para la organización.</w:t>
      </w:r>
    </w:p>
    <w:p>
      <w:pPr>
        <w:sectPr>
          <w:footerReference w:type="default" r:id="rId33"/>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4"/>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5"/>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sectPr w:rsidR="00FC693F" w:rsidRPr="0006063C" w:rsidSect="00034616">
      <w:footerReference w:type="default" r:id="rId36"/>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