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3844"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2281" w:after="0"/>
        <w:jc w:val="right"/>
      </w:pPr>
      <w:r>
        <w:rPr>
          <w:rFonts w:ascii="Times New Roman" w:hAnsi="Times New Roman"/>
          <w:b/>
          <w:sz w:val="24"/>
        </w:rPr>
        <w:t>Autor: Alrifaai Alrifaaie Amaal</w:t>
        <w:br/>
      </w:r>
      <w:r>
        <w:rPr>
          <w:rFonts w:ascii="Times New Roman" w:hAnsi="Times New Roman"/>
          <w:b/>
          <w:sz w:val="24"/>
        </w:rPr>
        <w:t>C.I.: 31.985.792</w:t>
      </w:r>
    </w:p>
    <w:p>
      <w:pPr>
        <w:spacing w:line="276" w:lineRule="auto" w:before="2309"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13"/>
          <w:pgSz w:w="12240" w:h="15840"/>
          <w:pgMar w:top="2835" w:right="1701" w:bottom="1701" w:left="2268" w:header="720" w:footer="720" w:gutter="0"/>
          <w:cols w:space="720"/>
          <w:titlePg/>
          <w:docGrid w:linePitch="360"/>
        </w:sectPr>
      </w:pPr>
    </w:p>
    <w:p>
      <w:bookmarkStart w:id="bm_cap1_ident" w:name="bm_cap1_ident"/>
      <w:pPr>
        <w:spacing w:before="480" w:after="480" w:line="360" w:lineRule="auto"/>
        <w:jc w:val="left"/>
      </w:pPr>
      <w:r>
        <w:rPr>
          <w:rFonts w:ascii="Times New Roman" w:hAnsi="Times New Roman"/>
          <w:b/>
          <w:sz w:val="24"/>
        </w:rPr>
        <w:t>IDENTIFICACIÓN DE LA EMPRESA</w:t>
      </w:r>
      <w:bookmarkEnd w:id="bm_cap1_ident"/>
    </w:p>
    <w:p>
      <w:pPr>
        <w:spacing w:line="360" w:lineRule="auto" w:after="0" w:before="0"/>
        <w:ind w:firstLine="709"/>
        <w:jc w:val="both"/>
      </w:pPr>
      <w:r>
        <w:rPr>
          <w:rFonts w:ascii="Times New Roman" w:hAnsi="Times New Roman"/>
          <w:i w:val="0"/>
          <w:sz w:val="24"/>
        </w:rPr>
        <w:t>La pasantía profesional se llevó a cabo en Ingeniería de Telecomunicaciones, C.A., empresa del sector tecnológico conocida comercialmente bajo las siglas IDETEL o INTELCA, registrada bajo el Registro de Información Fiscal (RIF) N° J-08011691-7. La organización actúa como operador autorizado por la Comisión Nacional de Telecomunicaciones (CONATEL) y se desempeña como Distribuidor Autorizado de la marca Motorola en la región oriental del país.</w:t>
      </w:r>
    </w:p>
    <w:p>
      <w:pPr>
        <w:spacing w:before="240" w:after="240" w:line="360" w:lineRule="auto"/>
        <w:ind w:firstLine="709"/>
        <w:jc w:val="left"/>
      </w:pPr>
      <w:r>
        <w:rPr>
          <w:rFonts w:ascii="Times New Roman" w:hAnsi="Times New Roman"/>
          <w:b/>
          <w:i/>
          <w:sz w:val="24"/>
        </w:rPr>
        <w:t>1.1.1 Razón social</w:t>
      </w:r>
    </w:p>
    <w:p>
      <w:pPr>
        <w:spacing w:line="360" w:lineRule="auto" w:after="0" w:before="0"/>
        <w:ind w:firstLine="0"/>
        <w:jc w:val="both"/>
      </w:pPr>
      <w:r>
        <w:rPr>
          <w:rFonts w:ascii="Times New Roman" w:hAnsi="Times New Roman"/>
          <w:i w:val="0"/>
          <w:sz w:val="24"/>
        </w:rPr>
        <w:t>Ingeniería de Telecomunicaciones, C.A. (IDETEL / INTELCA)</w:t>
      </w:r>
    </w:p>
    <w:p>
      <w:bookmarkStart w:id="bm_cap1_resena" w:name="bm_cap1_resena"/>
      <w:pPr>
        <w:spacing w:before="240" w:after="240" w:line="360" w:lineRule="auto"/>
        <w:ind w:firstLine="709"/>
        <w:jc w:val="left"/>
      </w:pPr>
      <w:r>
        <w:rPr>
          <w:rFonts w:ascii="Times New Roman" w:hAnsi="Times New Roman"/>
          <w:b/>
          <w:i/>
          <w:sz w:val="24"/>
        </w:rPr>
        <w:t>1.1.2 Reseña histórica</w:t>
      </w:r>
      <w:bookmarkEnd w:id="bm_cap1_resena"/>
    </w:p>
    <w:p>
      <w:pPr>
        <w:spacing w:line="360" w:lineRule="auto" w:after="0" w:before="0"/>
        <w:ind w:firstLine="709"/>
        <w:jc w:val="both"/>
      </w:pPr>
      <w:r>
        <w:rPr>
          <w:rFonts w:ascii="Times New Roman" w:hAnsi="Times New Roman"/>
          <w:i w:val="0"/>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spacing w:line="360" w:lineRule="auto" w:after="0" w:before="0"/>
        <w:ind w:firstLine="709"/>
        <w:jc w:val="both"/>
      </w:pPr>
      <w:r>
        <w:rPr>
          <w:rFonts w:ascii="Times New Roman" w:hAnsi="Times New Roman"/>
          <w:i w:val="0"/>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spacing w:line="360" w:lineRule="auto" w:after="0" w:before="0"/>
        <w:ind w:firstLine="709"/>
        <w:jc w:val="both"/>
      </w:pPr>
      <w:r>
        <w:rPr>
          <w:rFonts w:ascii="Times New Roman" w:hAnsi="Times New Roman"/>
          <w:i w:val="0"/>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bookmarkStart w:id="bm_cap1_mision" w:name="bm_cap1_mision"/>
      <w:pPr>
        <w:spacing w:before="240" w:after="240" w:line="360" w:lineRule="auto"/>
        <w:ind w:firstLine="709"/>
        <w:jc w:val="left"/>
      </w:pPr>
      <w:r>
        <w:rPr>
          <w:rFonts w:ascii="Times New Roman" w:hAnsi="Times New Roman"/>
          <w:b/>
          <w:i/>
          <w:sz w:val="24"/>
        </w:rPr>
        <w:t>1.1.3 Misión</w:t>
      </w:r>
      <w:bookmarkEnd w:id="bm_cap1_mision"/>
    </w:p>
    <w:p>
      <w:pPr>
        <w:spacing w:line="360" w:lineRule="auto" w:after="0" w:before="0"/>
        <w:ind w:firstLine="709"/>
        <w:jc w:val="both"/>
      </w:pPr>
      <w:r>
        <w:rPr>
          <w:rFonts w:ascii="Times New Roman" w:hAnsi="Times New Roman"/>
          <w:i/>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bookmarkStart w:id="bm_cap1_vision" w:name="bm_cap1_vision"/>
      <w:pPr>
        <w:spacing w:before="240" w:after="240" w:line="360" w:lineRule="auto"/>
        <w:ind w:firstLine="709"/>
        <w:jc w:val="left"/>
      </w:pPr>
      <w:r>
        <w:rPr>
          <w:rFonts w:ascii="Times New Roman" w:hAnsi="Times New Roman"/>
          <w:b/>
          <w:i/>
          <w:sz w:val="24"/>
        </w:rPr>
        <w:t>1.1.4 Visión</w:t>
      </w:r>
      <w:bookmarkEnd w:id="bm_cap1_vision"/>
    </w:p>
    <w:p>
      <w:pPr>
        <w:spacing w:line="360" w:lineRule="auto" w:after="0" w:before="0"/>
        <w:ind w:firstLine="709"/>
        <w:jc w:val="both"/>
      </w:pPr>
      <w:r>
        <w:rPr>
          <w:rFonts w:ascii="Times New Roman" w:hAnsi="Times New Roman"/>
          <w:i/>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bookmarkStart w:id="bm_cap1_valores" w:name="bm_cap1_valores"/>
      <w:pPr>
        <w:spacing w:before="240" w:after="240" w:line="360" w:lineRule="auto"/>
        <w:ind w:firstLine="709"/>
        <w:jc w:val="left"/>
      </w:pPr>
      <w:r>
        <w:rPr>
          <w:rFonts w:ascii="Times New Roman" w:hAnsi="Times New Roman"/>
          <w:b/>
          <w:i/>
          <w:sz w:val="24"/>
        </w:rPr>
        <w:t>1.1.5 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Confiabilidad: </w:t>
      </w:r>
      <w:r>
        <w:rPr>
          <w:rFonts w:ascii="Times New Roman" w:hAnsi="Times New Roman"/>
          <w:sz w:val="24"/>
        </w:rPr>
        <w:t>Compromiso de entregar soluciones tecnológicas robustas que cumplan con los más altos estándares técnicos y de ingeniería para garantizar operaciones continuas y seguras.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Innovación y Competitividad: </w:t>
      </w:r>
      <w:r>
        <w:rPr>
          <w:rFonts w:ascii="Times New Roman" w:hAnsi="Times New Roman"/>
          <w:sz w:val="24"/>
        </w:rPr>
        <w:t>Búsqueda constante de actualización y adopción de tecnologías de última generación para sobresalir y liderar el mercado de soluciones inalámbricas y ópticas.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Seguridad Laboral e Higiene Ocupacional: </w:t>
      </w:r>
      <w:r>
        <w:rPr>
          <w:rFonts w:ascii="Times New Roman" w:hAnsi="Times New Roman"/>
          <w:sz w:val="24"/>
        </w:rPr>
        <w:t>Aplicación rigurosa de normas de protección e integridad física del personal en cada obra, instalación en campo o infraestructura crítica atendida.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Excelencia Técnica: </w:t>
      </w:r>
      <w:r>
        <w:rPr>
          <w:rFonts w:ascii="Times New Roman" w:hAnsi="Times New Roman"/>
          <w:sz w:val="24"/>
        </w:rPr>
        <w:t>Orientación hacia la precisión en los procesos de diseño, empalme por fusión, certificación de redes y asesoría en laboratorio.</w:t>
      </w:r>
    </w:p>
    <w:p>
      <w:bookmarkStart w:id="bm_cap1_obj" w:name="bm_cap1_obj"/>
      <w:pPr>
        <w:spacing w:before="240" w:after="240" w:line="360" w:lineRule="auto"/>
        <w:ind w:firstLine="709"/>
        <w:jc w:val="left"/>
      </w:pPr>
      <w:r>
        <w:rPr>
          <w:rFonts w:ascii="Times New Roman" w:hAnsi="Times New Roman"/>
          <w:b/>
          <w:i/>
          <w:sz w:val="24"/>
        </w:rPr>
        <w:t>1.1.6 Objetivos Organizacionales</w:t>
      </w:r>
      <w:bookmarkEnd w:id="bm_cap1_obj"/>
    </w:p>
    <w:p>
      <w:pPr>
        <w:spacing w:line="360" w:lineRule="auto" w:after="0" w:before="0"/>
        <w:ind w:firstLine="709"/>
        <w:jc w:val="both"/>
      </w:pPr>
      <w:r>
        <w:rPr>
          <w:rFonts w:ascii="Times New Roman" w:hAnsi="Times New Roman"/>
          <w:i w:val="0"/>
          <w:sz w:val="24"/>
        </w:rPr>
        <w:t>Entre sus objetivos organizacionales se encuentran:</w:t>
      </w:r>
    </w:p>
    <w:p>
      <w:pPr>
        <w:spacing w:line="360" w:lineRule="auto"/>
        <w:ind w:firstLine="709"/>
        <w:jc w:val="both"/>
      </w:pPr>
      <w:r>
        <w:rPr>
          <w:rFonts w:ascii="Times New Roman" w:hAnsi="Times New Roman"/>
          <w:sz w:val="24"/>
        </w:rPr>
        <w:t xml:space="preserve">1. </w:t>
      </w:r>
      <w:r>
        <w:rPr>
          <w:rFonts w:ascii="Times New Roman" w:hAnsi="Times New Roman"/>
          <w:sz w:val="24"/>
        </w:rPr>
        <w:t>Ejecutar todo género de actividad o prestación de servicios relacionados directa o indirectamente con el ramo de las comunicaciones, computación y la electrónica en general.</w:t>
      </w:r>
    </w:p>
    <w:p>
      <w:pPr>
        <w:spacing w:line="360" w:lineRule="auto"/>
        <w:ind w:firstLine="709"/>
        <w:jc w:val="both"/>
      </w:pPr>
      <w:r>
        <w:rPr>
          <w:rFonts w:ascii="Times New Roman" w:hAnsi="Times New Roman"/>
          <w:sz w:val="24"/>
        </w:rPr>
        <w:t xml:space="preserve">2. </w:t>
      </w:r>
      <w:r>
        <w:rPr>
          <w:rFonts w:ascii="Times New Roman" w:hAnsi="Times New Roman"/>
          <w:sz w:val="24"/>
        </w:rPr>
        <w:t>Prestar servicios de importación, manufacturación, asesoría, ventas, instalaciones, arrendamientos, supervisión y mantenimiento en el área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Representar total o parcialmente cualquier producto comercial relacionado con sus operaciones mercantiles.</w:t>
      </w:r>
    </w:p>
    <w:p>
      <w:bookmarkStart w:id="bm_cap1_ubic" w:name="bm_cap1_ubic"/>
      <w:pPr>
        <w:spacing w:before="240" w:after="240" w:line="360" w:lineRule="auto"/>
        <w:ind w:firstLine="709"/>
        <w:jc w:val="left"/>
      </w:pPr>
      <w:r>
        <w:rPr>
          <w:rFonts w:ascii="Times New Roman" w:hAnsi="Times New Roman"/>
          <w:b/>
          <w:i/>
          <w:sz w:val="24"/>
        </w:rPr>
        <w:t>1.1.7 Ubicación geográfica</w:t>
      </w:r>
      <w:bookmarkEnd w:id="bm_cap1_ubic"/>
    </w:p>
    <w:p>
      <w:pPr>
        <w:spacing w:line="360" w:lineRule="auto" w:after="0" w:before="0"/>
        <w:ind w:firstLine="0"/>
        <w:jc w:val="both"/>
      </w:pPr>
      <w:r>
        <w:rPr>
          <w:rFonts w:ascii="Times New Roman" w:hAnsi="Times New Roman"/>
          <w:i w:val="0"/>
          <w:sz w:val="24"/>
        </w:rPr>
        <w:t>La sede administrativa y operativa de Ingeniería de Telecomunicaciones, C.A. se encuentra ubicada en la Calle Bolívar, Edificio La Suiza, Piso 1, Oficina Nro. 28, ciudad de El Tigre, Municipio Simón Rodríguez, estado Anzoátegui, Venezuela.</w:t>
      </w:r>
    </w:p>
    <w:p>
      <w:pPr>
        <w:spacing w:before="480"/>
        <w:jc w:val="center"/>
      </w:pPr>
      <w:r>
        <w:drawing>
          <wp:inline xmlns:a="http://schemas.openxmlformats.org/drawingml/2006/main" xmlns:pic="http://schemas.openxmlformats.org/drawingml/2006/picture">
            <wp:extent cx="1800000" cy="1125000"/>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1800000" cy="1125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Ingeniería de Telecomunicaciones, C.A.</w:t>
      </w:r>
      <w:bookmarkEnd w:id="bm_grafico1"/>
    </w:p>
    <w:p>
      <w:bookmarkStart w:id="bm_cap1_pobla" w:name="bm_cap1_pobla"/>
      <w:pPr>
        <w:spacing w:before="240" w:after="240" w:line="360" w:lineRule="auto"/>
        <w:ind w:firstLine="709"/>
        <w:jc w:val="left"/>
      </w:pPr>
      <w:r>
        <w:rPr>
          <w:rFonts w:ascii="Times New Roman" w:hAnsi="Times New Roman"/>
          <w:b/>
          <w:i/>
          <w:sz w:val="24"/>
        </w:rPr>
        <w:t>1.1.8 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Ingeniería de Telecomunicaciones, C.A. está conformada por personal multidisciplinario distribuido en las distintas áreas operativas y administrativas, con un total de ocho (8) trabajadores. La pasantía profesional se desarrolló en el Departamento de Administración, que dado el reducido tamaño del equipo tras un proceso de reestructuración de personal, opera con una estructura simplificada. Las funciones administrativas se concentran en dos (2) cargos activos: Supervisión de Administración, Contabilidad y Tributos, y Analista de Compras y Facturación, además del Analista de Atención al Cliente.</w:t>
      </w:r>
    </w:p>
    <w:p>
      <w:bookmarkStart w:id="bm_cap1_estruct" w:name="bm_cap1_estruct"/>
      <w:pPr>
        <w:spacing w:before="240" w:after="240" w:line="360" w:lineRule="auto"/>
        <w:ind w:firstLine="709"/>
        <w:jc w:val="left"/>
      </w:pPr>
      <w:r>
        <w:rPr>
          <w:rFonts w:ascii="Times New Roman" w:hAnsi="Times New Roman"/>
          <w:b/>
          <w:i/>
          <w:sz w:val="24"/>
        </w:rPr>
        <w:t>1.1.9 Estructura Organizativa</w:t>
      </w:r>
      <w:bookmarkEnd w:id="bm_cap1_estruct"/>
    </w:p>
    <w:p>
      <w:pPr>
        <w:spacing w:line="360" w:lineRule="auto" w:after="0" w:before="0"/>
        <w:ind w:firstLine="709"/>
        <w:jc w:val="both"/>
      </w:pPr>
      <w:r>
        <w:rPr>
          <w:rFonts w:ascii="Times New Roman" w:hAnsi="Times New Roman"/>
          <w:i w:val="0"/>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spacing w:before="480"/>
        <w:jc w:val="center"/>
      </w:pPr>
      <w:r>
        <w:drawing>
          <wp:inline xmlns:a="http://schemas.openxmlformats.org/drawingml/2006/main" xmlns:pic="http://schemas.openxmlformats.org/drawingml/2006/picture">
            <wp:extent cx="4320000" cy="1473429"/>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4320000" cy="147342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Ingeniería de Telecomunicaciones, C.A.</w:t>
      </w:r>
      <w:bookmarkEnd w:id="bm_grafico2"/>
    </w:p>
    <w:p>
      <w:pPr>
        <w:spacing w:before="480"/>
        <w:jc w:val="center"/>
      </w:pPr>
      <w:r>
        <w:drawing>
          <wp:inline xmlns:a="http://schemas.openxmlformats.org/drawingml/2006/main" xmlns:pic="http://schemas.openxmlformats.org/drawingml/2006/picture">
            <wp:extent cx="4320000" cy="2680292"/>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4320000" cy="2680292"/>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del Departamento de Administración.</w:t>
      </w:r>
      <w:bookmarkEnd w:id="bm_grafico3"/>
    </w:p>
    <w:p>
      <w:pPr>
        <w:sectPr>
          <w:footerReference w:type="default" r:id="rId14"/>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15"/>
          <w:pgSz w:w="12240" w:h="15840"/>
          <w:pgMar w:top="2835"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contexto global actual, la gestión eficiente de los procesos administrativos constituye un factor determinante para la competitividad y sostenibilidad de las organizaciones del sector tecnológico. Las empresas proveedoras de servicios de telecomunicaciones enfrentan, de manera creciente, la necesidad de articular sus procedimientos internos con las exigencias de un mercado que demanda respuestas ágiles, trazabilidad en la atención al cliente y control riguroso sobre el ciclo de vida de cada solicitud de servicio.</w:t>
      </w:r>
    </w:p>
    <w:p>
      <w:pPr>
        <w:spacing w:line="360" w:lineRule="auto" w:after="0" w:before="0"/>
        <w:ind w:firstLine="709"/>
        <w:jc w:val="both"/>
      </w:pPr>
      <w:r>
        <w:rPr>
          <w:rFonts w:ascii="Times New Roman" w:hAnsi="Times New Roman"/>
          <w:i w:val="0"/>
          <w:sz w:val="24"/>
        </w:rPr>
        <w:t>A nivel nacional, el sector de telecomunicaciones en Venezuela ha experimentado una expansión sostenida, impulsada por la demanda de conectividad tanto en el segmento PyME como en el sector industrial y petrolero. Sin embargo, esta expansión ha puesto en evidencia debilidades estructurales en los sistemas de control administrativo de diversas organizaciones del ramo, particularmente en la gestión de solicitudes de servicio, donde la ausencia de procesos estandarizados genera retrasos, duplicidad de funciones y dificultades en la trazabilidad operativa.</w:t>
      </w:r>
    </w:p>
    <w:p>
      <w:pPr>
        <w:spacing w:line="360" w:lineRule="auto" w:after="0" w:before="0"/>
        <w:ind w:firstLine="709"/>
        <w:jc w:val="both"/>
      </w:pPr>
      <w:r>
        <w:rPr>
          <w:rFonts w:ascii="Times New Roman" w:hAnsi="Times New Roman"/>
          <w:i w:val="0"/>
          <w:sz w:val="24"/>
        </w:rPr>
        <w:t>En el caso específico de Ingeniería de Telecomunicaciones, C.A. (IDETEL), empresa con más de cuatro décadas de trayectoria en la región oriental del país, se identificó durante el período de pasantías que el Departamento de Administración presenta deficiencias en el control administrativo aplicado a la gestión de solicitudes de servicios. Concretamente, se observó que los procesos de afiliación de nuevos suscriptores e incidencias reportadas no cuentan con un sistema de seguimiento unificado que permita verificar en tiempo real el estado de cada solicitud, lo que genera inconsistencias entre los departamentos involucrados.</w:t>
      </w:r>
    </w:p>
    <w:p>
      <w:pPr>
        <w:spacing w:line="360" w:lineRule="auto" w:after="0" w:before="0"/>
        <w:ind w:firstLine="709"/>
        <w:jc w:val="both"/>
      </w:pPr>
      <w:r>
        <w:rPr>
          <w:rFonts w:ascii="Times New Roman" w:hAnsi="Times New Roman"/>
          <w:i w:val="0"/>
          <w:sz w:val="24"/>
        </w:rPr>
        <w:t>Las principales manifestaciones de la problemática identificada son las siguientes: (a) ausencia de registros estandarizados para el control de solicitudes de instalación y atención de incidencias, (b) comunicación fragmentada entre el área comercial, el NOC y las cuadrillas técnicas de campo, (c) retrasos en la actualización del sistema de tickets que dificultan el cierre oportuno de los casos, y (d) carencia de indicadores de gestión que permitan evaluar el desempeño del proceso de atención al suscriptor.</w:t>
      </w:r>
    </w:p>
    <w:p>
      <w:pPr>
        <w:spacing w:line="360" w:lineRule="auto" w:after="0" w:before="0"/>
        <w:ind w:firstLine="709"/>
        <w:jc w:val="both"/>
      </w:pPr>
      <w:r>
        <w:rPr>
          <w:rFonts w:ascii="Times New Roman" w:hAnsi="Times New Roman"/>
          <w:i w:val="0"/>
          <w:sz w:val="24"/>
        </w:rPr>
        <w:t>Las causas de esta situación se atribuyen principalmente a la falta de un protocolo administrativo formal que regule el flujo de las solicitudes desde su recepción hasta su cierre definitivo, así como a la dependencia de canales informales de comunicación entre las áreas involucradas. Como consecuencia, se generan reprocesos, insatisfacción en los clientes y sobrecarga operativa en los supervisores, comprometiendo la calidad del servicio prestado y la imagen institucional de la organización.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Evaluar el control administrativo aplicado a la gestión de solicitudes de servicios de telecomunicaciones en la empresa Ingeniería de Telecomunicaciones, C.A., con el propósito de identificar las debilidades del proceso y proponer mejoras que optimicen la atención al suscriptor desde el Departamento de Administración.</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Describir los procesos administrativos actuales aplicados a la gestión de solicitudes de afiliación de nuevos suscriptores e incidencias en Ingeniería de Telecomunicaciones, C.A.</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deficiencias presentes en el sistema de control administrativo utilizado para el seguimiento de solicitudes de servicios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el impacto de las debilidades detectadas en el control administrativo sobre la calidad del servicio prestado a los suscriptores de la empresa.</w:t>
      </w:r>
    </w:p>
    <w:p>
      <w:pPr>
        <w:spacing w:line="360" w:lineRule="auto"/>
        <w:ind w:firstLine="709"/>
        <w:jc w:val="both"/>
      </w:pPr>
      <w:r>
        <w:rPr>
          <w:rFonts w:ascii="Times New Roman" w:hAnsi="Times New Roman"/>
          <w:sz w:val="24"/>
        </w:rPr>
        <w:t xml:space="preserve">4. </w:t>
      </w:r>
      <w:r>
        <w:rPr>
          <w:rFonts w:ascii="Times New Roman" w:hAnsi="Times New Roman"/>
          <w:sz w:val="24"/>
        </w:rPr>
        <w:t>Proponer mejoras al proceso de control administrativo de solicitudes de servicios que contribuyan a la optimización operativa y a la satisfacción del cliente en Ingeniería de Telecomunicaciones, C.A.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evaluación del control administrativo: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Describir los procesos administrativos actuales de solicitudes de servicio.</w:t>
            </w:r>
          </w:p>
        </w:tc>
        <w:tc>
          <w:tcPr>
            <w:tcW w:w="2551" w:type="dxa"/>
            <w:shd w:val="clear" w:color="auto" w:fill="FFFFFF"/>
          </w:tcPr>
          <w:p>
            <w:pPr>
              <w:spacing w:before="60" w:after="60" w:line="240" w:lineRule="auto"/>
              <w:jc w:val="both"/>
            </w:pPr>
            <w:r>
              <w:rPr>
                <w:rFonts w:ascii="Times New Roman" w:hAnsi="Times New Roman"/>
                <w:b w:val="0"/>
                <w:color w:val="000000"/>
                <w:sz w:val="20"/>
              </w:rPr>
              <w:t>Observación directa y revisión documental de los procedimientos internos.</w:t>
            </w:r>
          </w:p>
        </w:tc>
        <w:tc>
          <w:tcPr>
            <w:tcW w:w="1701" w:type="dxa"/>
            <w:shd w:val="clear" w:color="auto" w:fill="FFFFFF"/>
          </w:tcPr>
          <w:p>
            <w:pPr>
              <w:spacing w:before="60" w:after="60" w:line="240" w:lineRule="auto"/>
              <w:jc w:val="both"/>
            </w:pPr>
            <w:r>
              <w:rPr>
                <w:rFonts w:ascii="Times New Roman" w:hAnsi="Times New Roman"/>
                <w:b w:val="0"/>
                <w:color w:val="000000"/>
                <w:sz w:val="20"/>
              </w:rPr>
              <w:t>Guía de observación, documentos de la empresa, PC.</w:t>
            </w:r>
          </w:p>
        </w:tc>
        <w:tc>
          <w:tcPr>
            <w:tcW w:w="1984" w:type="dxa"/>
            <w:shd w:val="clear" w:color="auto" w:fill="FFFFFF"/>
          </w:tcPr>
          <w:p>
            <w:pPr>
              <w:spacing w:before="60" w:after="60" w:line="240" w:lineRule="auto"/>
              <w:jc w:val="both"/>
            </w:pPr>
            <w:r>
              <w:rPr>
                <w:rFonts w:ascii="Times New Roman" w:hAnsi="Times New Roman"/>
                <w:b w:val="0"/>
                <w:color w:val="000000"/>
                <w:sz w:val="20"/>
              </w:rPr>
              <w:t>Mapeo del flujo actual de solicitudes.</w:t>
            </w:r>
          </w:p>
        </w:tc>
      </w:tr>
      <w:tr>
        <w:tc>
          <w:tcPr>
            <w:tcW w:w="2551" w:type="dxa"/>
            <w:shd w:val="clear" w:color="auto" w:fill="D9E1F2"/>
          </w:tcPr>
          <w:p>
            <w:pPr>
              <w:spacing w:before="60" w:after="60" w:line="240" w:lineRule="auto"/>
              <w:jc w:val="both"/>
            </w:pPr>
            <w:r>
              <w:rPr>
                <w:rFonts w:ascii="Times New Roman" w:hAnsi="Times New Roman"/>
                <w:b w:val="0"/>
                <w:color w:val="000000"/>
                <w:sz w:val="20"/>
              </w:rPr>
              <w:t>Identificar las deficiencias en el control administrativo de solicitudes.</w:t>
            </w:r>
          </w:p>
        </w:tc>
        <w:tc>
          <w:tcPr>
            <w:tcW w:w="2551" w:type="dxa"/>
            <w:shd w:val="clear" w:color="auto" w:fill="D9E1F2"/>
          </w:tcPr>
          <w:p>
            <w:pPr>
              <w:spacing w:before="60" w:after="60" w:line="240" w:lineRule="auto"/>
              <w:jc w:val="both"/>
            </w:pPr>
            <w:r>
              <w:rPr>
                <w:rFonts w:ascii="Times New Roman" w:hAnsi="Times New Roman"/>
                <w:b w:val="0"/>
                <w:color w:val="000000"/>
                <w:sz w:val="20"/>
              </w:rPr>
              <w:t>Entrevistas al personal administrativo y revisión de registros históricos.</w:t>
            </w:r>
          </w:p>
        </w:tc>
        <w:tc>
          <w:tcPr>
            <w:tcW w:w="1701" w:type="dxa"/>
            <w:shd w:val="clear" w:color="auto" w:fill="D9E1F2"/>
          </w:tcPr>
          <w:p>
            <w:pPr>
              <w:spacing w:before="60" w:after="60" w:line="240" w:lineRule="auto"/>
              <w:jc w:val="both"/>
            </w:pPr>
            <w:r>
              <w:rPr>
                <w:rFonts w:ascii="Times New Roman" w:hAnsi="Times New Roman"/>
                <w:b w:val="0"/>
                <w:color w:val="000000"/>
                <w:sz w:val="20"/>
              </w:rPr>
              <w:t>Guía de entrevista, históricos de tickets, PC.</w:t>
            </w:r>
          </w:p>
        </w:tc>
        <w:tc>
          <w:tcPr>
            <w:tcW w:w="1984" w:type="dxa"/>
            <w:shd w:val="clear" w:color="auto" w:fill="D9E1F2"/>
          </w:tcPr>
          <w:p>
            <w:pPr>
              <w:spacing w:before="60" w:after="60" w:line="240" w:lineRule="auto"/>
              <w:jc w:val="both"/>
            </w:pPr>
            <w:r>
              <w:rPr>
                <w:rFonts w:ascii="Times New Roman" w:hAnsi="Times New Roman"/>
                <w:b w:val="0"/>
                <w:color w:val="000000"/>
                <w:sz w:val="20"/>
              </w:rPr>
              <w:t>Matriz de deficiencias identificadas.</w:t>
            </w:r>
          </w:p>
        </w:tc>
      </w:tr>
      <w:tr>
        <w:tc>
          <w:tcPr>
            <w:tcW w:w="2551" w:type="dxa"/>
            <w:shd w:val="clear" w:color="auto" w:fill="FFFFFF"/>
          </w:tcPr>
          <w:p>
            <w:pPr>
              <w:spacing w:before="60" w:after="60" w:line="240" w:lineRule="auto"/>
              <w:jc w:val="both"/>
            </w:pPr>
            <w:r>
              <w:rPr>
                <w:rFonts w:ascii="Times New Roman" w:hAnsi="Times New Roman"/>
                <w:b w:val="0"/>
                <w:color w:val="000000"/>
                <w:sz w:val="20"/>
              </w:rPr>
              <w:t>Analizar el impacto de las debilidades en la calidad del servicio.</w:t>
            </w:r>
          </w:p>
        </w:tc>
        <w:tc>
          <w:tcPr>
            <w:tcW w:w="2551" w:type="dxa"/>
            <w:shd w:val="clear" w:color="auto" w:fill="FFFFFF"/>
          </w:tcPr>
          <w:p>
            <w:pPr>
              <w:spacing w:before="60" w:after="60" w:line="240" w:lineRule="auto"/>
              <w:jc w:val="both"/>
            </w:pPr>
            <w:r>
              <w:rPr>
                <w:rFonts w:ascii="Times New Roman" w:hAnsi="Times New Roman"/>
                <w:b w:val="0"/>
                <w:color w:val="000000"/>
                <w:sz w:val="20"/>
              </w:rPr>
              <w:t>Análisis de tiempos de respuesta y correlación con quejas de suscriptores.</w:t>
            </w:r>
          </w:p>
        </w:tc>
        <w:tc>
          <w:tcPr>
            <w:tcW w:w="1701" w:type="dxa"/>
            <w:shd w:val="clear" w:color="auto" w:fill="FFFFFF"/>
          </w:tcPr>
          <w:p>
            <w:pPr>
              <w:spacing w:before="60" w:after="60" w:line="240" w:lineRule="auto"/>
              <w:jc w:val="both"/>
            </w:pPr>
            <w:r>
              <w:rPr>
                <w:rFonts w:ascii="Times New Roman" w:hAnsi="Times New Roman"/>
                <w:b w:val="0"/>
                <w:color w:val="000000"/>
                <w:sz w:val="20"/>
              </w:rPr>
              <w:t>Base de datos de incidencias, hojas de cálculo.</w:t>
            </w:r>
          </w:p>
        </w:tc>
        <w:tc>
          <w:tcPr>
            <w:tcW w:w="1984" w:type="dxa"/>
            <w:shd w:val="clear" w:color="auto" w:fill="FFFFFF"/>
          </w:tcPr>
          <w:p>
            <w:pPr>
              <w:spacing w:before="60" w:after="60" w:line="240" w:lineRule="auto"/>
              <w:jc w:val="both"/>
            </w:pPr>
            <w:r>
              <w:rPr>
                <w:rFonts w:ascii="Times New Roman" w:hAnsi="Times New Roman"/>
                <w:b w:val="0"/>
                <w:color w:val="000000"/>
                <w:sz w:val="20"/>
              </w:rPr>
              <w:t>Informe analítico de impacto.</w:t>
            </w:r>
          </w:p>
        </w:tc>
      </w:tr>
      <w:tr>
        <w:tc>
          <w:tcPr>
            <w:tcW w:w="2551" w:type="dxa"/>
            <w:shd w:val="clear" w:color="auto" w:fill="D9E1F2"/>
          </w:tcPr>
          <w:p>
            <w:pPr>
              <w:spacing w:before="60" w:after="60" w:line="240" w:lineRule="auto"/>
              <w:jc w:val="both"/>
            </w:pPr>
            <w:r>
              <w:rPr>
                <w:rFonts w:ascii="Times New Roman" w:hAnsi="Times New Roman"/>
                <w:b w:val="0"/>
                <w:color w:val="000000"/>
                <w:sz w:val="20"/>
              </w:rPr>
              <w:t>Proponer mejoras al proceso de control administrativo.</w:t>
            </w:r>
          </w:p>
        </w:tc>
        <w:tc>
          <w:tcPr>
            <w:tcW w:w="2551" w:type="dxa"/>
            <w:shd w:val="clear" w:color="auto" w:fill="D9E1F2"/>
          </w:tcPr>
          <w:p>
            <w:pPr>
              <w:spacing w:before="60" w:after="60" w:line="240" w:lineRule="auto"/>
              <w:jc w:val="both"/>
            </w:pPr>
            <w:r>
              <w:rPr>
                <w:rFonts w:ascii="Times New Roman" w:hAnsi="Times New Roman"/>
                <w:b w:val="0"/>
                <w:color w:val="000000"/>
                <w:sz w:val="20"/>
              </w:rPr>
              <w:t>Diseño de procedimientos estandarizados y formatos de control.</w:t>
            </w:r>
          </w:p>
        </w:tc>
        <w:tc>
          <w:tcPr>
            <w:tcW w:w="1701" w:type="dxa"/>
            <w:shd w:val="clear" w:color="auto" w:fill="D9E1F2"/>
          </w:tcPr>
          <w:p>
            <w:pPr>
              <w:spacing w:before="60" w:after="60" w:line="240" w:lineRule="auto"/>
              <w:jc w:val="both"/>
            </w:pPr>
            <w:r>
              <w:rPr>
                <w:rFonts w:ascii="Times New Roman" w:hAnsi="Times New Roman"/>
                <w:b w:val="0"/>
                <w:color w:val="000000"/>
                <w:sz w:val="20"/>
              </w:rPr>
              <w:t>Procesador de texto, normativas internas.</w:t>
            </w:r>
          </w:p>
        </w:tc>
        <w:tc>
          <w:tcPr>
            <w:tcW w:w="1984" w:type="dxa"/>
            <w:shd w:val="clear" w:color="auto" w:fill="D9E1F2"/>
          </w:tcPr>
          <w:p>
            <w:pPr>
              <w:spacing w:before="60" w:after="60" w:line="240" w:lineRule="auto"/>
              <w:jc w:val="both"/>
            </w:pPr>
            <w:r>
              <w:rPr>
                <w:rFonts w:ascii="Times New Roman" w:hAnsi="Times New Roman"/>
                <w:b w:val="0"/>
                <w:color w:val="000000"/>
                <w:sz w:val="20"/>
              </w:rPr>
              <w:t>Propuesta de mejora procedimental formulada.</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propuesta de mejora,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523" w:type="dxa"/>
            <w:shd w:val="clear" w:color="auto" w:fill="4472C4"/>
          </w:tcPr>
          <w:p>
            <w:pPr>
              <w:spacing w:before="60" w:after="60" w:line="240" w:lineRule="auto"/>
              <w:jc w:val="center"/>
            </w:pPr>
            <w:r>
              <w:rPr>
                <w:rFonts w:ascii="Times New Roman" w:hAnsi="Times New Roman"/>
                <w:b/>
                <w:color w:val="FFFFFF"/>
                <w:sz w:val="18"/>
              </w:rPr>
              <w:t>S1</w:t>
            </w:r>
          </w:p>
        </w:tc>
        <w:tc>
          <w:tcPr>
            <w:tcW w:w="523" w:type="dxa"/>
            <w:shd w:val="clear" w:color="auto" w:fill="4472C4"/>
          </w:tcPr>
          <w:p>
            <w:pPr>
              <w:spacing w:before="60" w:after="60" w:line="240" w:lineRule="auto"/>
              <w:jc w:val="center"/>
            </w:pPr>
            <w:r>
              <w:rPr>
                <w:rFonts w:ascii="Times New Roman" w:hAnsi="Times New Roman"/>
                <w:b/>
                <w:color w:val="FFFFFF"/>
                <w:sz w:val="18"/>
              </w:rPr>
              <w:t>S2</w:t>
            </w:r>
          </w:p>
        </w:tc>
        <w:tc>
          <w:tcPr>
            <w:tcW w:w="523" w:type="dxa"/>
            <w:shd w:val="clear" w:color="auto" w:fill="4472C4"/>
          </w:tcPr>
          <w:p>
            <w:pPr>
              <w:spacing w:before="60" w:after="60" w:line="240" w:lineRule="auto"/>
              <w:jc w:val="center"/>
            </w:pPr>
            <w:r>
              <w:rPr>
                <w:rFonts w:ascii="Times New Roman" w:hAnsi="Times New Roman"/>
                <w:b/>
                <w:color w:val="FFFFFF"/>
                <w:sz w:val="18"/>
              </w:rPr>
              <w:t>S3</w:t>
            </w:r>
          </w:p>
        </w:tc>
        <w:tc>
          <w:tcPr>
            <w:tcW w:w="523" w:type="dxa"/>
            <w:shd w:val="clear" w:color="auto" w:fill="4472C4"/>
          </w:tcPr>
          <w:p>
            <w:pPr>
              <w:spacing w:before="60" w:after="60" w:line="240" w:lineRule="auto"/>
              <w:jc w:val="center"/>
            </w:pPr>
            <w:r>
              <w:rPr>
                <w:rFonts w:ascii="Times New Roman" w:hAnsi="Times New Roman"/>
                <w:b/>
                <w:color w:val="FFFFFF"/>
                <w:sz w:val="18"/>
              </w:rPr>
              <w:t>S4</w:t>
            </w:r>
          </w:p>
        </w:tc>
        <w:tc>
          <w:tcPr>
            <w:tcW w:w="523" w:type="dxa"/>
            <w:shd w:val="clear" w:color="auto" w:fill="4472C4"/>
          </w:tcPr>
          <w:p>
            <w:pPr>
              <w:spacing w:before="60" w:after="60" w:line="240" w:lineRule="auto"/>
              <w:jc w:val="center"/>
            </w:pPr>
            <w:r>
              <w:rPr>
                <w:rFonts w:ascii="Times New Roman" w:hAnsi="Times New Roman"/>
                <w:b/>
                <w:color w:val="FFFFFF"/>
                <w:sz w:val="18"/>
              </w:rPr>
              <w:t>S5</w:t>
            </w:r>
          </w:p>
        </w:tc>
        <w:tc>
          <w:tcPr>
            <w:tcW w:w="523" w:type="dxa"/>
            <w:shd w:val="clear" w:color="auto" w:fill="4472C4"/>
          </w:tcPr>
          <w:p>
            <w:pPr>
              <w:spacing w:before="60" w:after="60" w:line="240" w:lineRule="auto"/>
              <w:jc w:val="center"/>
            </w:pPr>
            <w:r>
              <w:rPr>
                <w:rFonts w:ascii="Times New Roman" w:hAnsi="Times New Roman"/>
                <w:b/>
                <w:color w:val="FFFFFF"/>
                <w:sz w:val="18"/>
              </w:rPr>
              <w:t>S6</w:t>
            </w:r>
          </w:p>
        </w:tc>
        <w:tc>
          <w:tcPr>
            <w:tcW w:w="523" w:type="dxa"/>
            <w:shd w:val="clear" w:color="auto" w:fill="4472C4"/>
          </w:tcPr>
          <w:p>
            <w:pPr>
              <w:spacing w:before="60" w:after="60" w:line="240" w:lineRule="auto"/>
              <w:jc w:val="center"/>
            </w:pPr>
            <w:r>
              <w:rPr>
                <w:rFonts w:ascii="Times New Roman" w:hAnsi="Times New Roman"/>
                <w:b/>
                <w:color w:val="FFFFFF"/>
                <w:sz w:val="18"/>
              </w:rPr>
              <w:t>S7</w:t>
            </w:r>
          </w:p>
        </w:tc>
        <w:tc>
          <w:tcPr>
            <w:tcW w:w="523" w:type="dxa"/>
            <w:shd w:val="clear" w:color="auto" w:fill="4472C4"/>
          </w:tcPr>
          <w:p>
            <w:pPr>
              <w:spacing w:before="60" w:after="60" w:line="240" w:lineRule="auto"/>
              <w:jc w:val="center"/>
            </w:pPr>
            <w:r>
              <w:rPr>
                <w:rFonts w:ascii="Times New Roman" w:hAnsi="Times New Roman"/>
                <w:b/>
                <w:color w:val="FFFFFF"/>
                <w:sz w:val="18"/>
              </w:rPr>
              <w:t>S8</w:t>
            </w:r>
          </w:p>
        </w:tc>
        <w:tc>
          <w:tcPr>
            <w:tcW w:w="523" w:type="dxa"/>
            <w:shd w:val="clear" w:color="auto" w:fill="4472C4"/>
          </w:tcPr>
          <w:p>
            <w:pPr>
              <w:spacing w:before="60" w:after="60" w:line="240" w:lineRule="auto"/>
              <w:jc w:val="center"/>
            </w:pPr>
            <w:r>
              <w:rPr>
                <w:rFonts w:ascii="Times New Roman" w:hAnsi="Times New Roman"/>
                <w:b/>
                <w:color w:val="FFFFFF"/>
                <w:sz w:val="18"/>
              </w:rPr>
              <w:t>S9</w:t>
            </w:r>
          </w:p>
        </w:tc>
        <w:tc>
          <w:tcPr>
            <w:tcW w:w="523" w:type="dxa"/>
            <w:shd w:val="clear" w:color="auto" w:fill="4472C4"/>
          </w:tcPr>
          <w:p>
            <w:pPr>
              <w:spacing w:before="60" w:after="60" w:line="240" w:lineRule="auto"/>
              <w:jc w:val="center"/>
            </w:pPr>
            <w:r>
              <w:rPr>
                <w:rFonts w:ascii="Times New Roman" w:hAnsi="Times New Roman"/>
                <w:b/>
                <w:color w:val="FFFFFF"/>
                <w:sz w:val="18"/>
              </w:rPr>
              <w:t>S10</w:t>
            </w:r>
          </w:p>
        </w:tc>
      </w:tr>
      <w:tr>
        <w:tc>
          <w:tcPr>
            <w:tcW w:w="3033" w:type="dxa"/>
            <w:shd w:val="clear" w:color="auto" w:fill="FFFFFF"/>
          </w:tcPr>
          <w:p>
            <w:pPr>
              <w:spacing w:before="60" w:after="60" w:line="240" w:lineRule="auto"/>
              <w:jc w:val="both"/>
            </w:pPr>
            <w:r>
              <w:rPr>
                <w:rFonts w:ascii="Times New Roman" w:hAnsi="Times New Roman"/>
                <w:b w:val="0"/>
                <w:color w:val="000000"/>
                <w:sz w:val="20"/>
              </w:rPr>
              <w:t>Inducción y reconocimiento del área de trabajo.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Levantamiento de información sobre procesos administrativos.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Observación y análisis del proceso de solicitudes de servicio.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Diseño y aplicación de instrumentos de recolección de datos.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Diagnóstico de la situación problemática.</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Revisión y elaboración del Marco Teórico.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Ejecución de actividades asignadas en el área administrativa.</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Registro semanal de actividades realizadas.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Redacción de conclusiones y recomendaciones.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D9E1F2"/>
          </w:tcPr>
          <w:p>
            <w:pPr>
              <w:spacing w:before="60" w:after="60" w:line="240" w:lineRule="auto"/>
              <w:jc w:val="both"/>
            </w:pPr>
            <w:r>
              <w:rPr>
                <w:rFonts w:ascii="Times New Roman" w:hAnsi="Times New Roman"/>
                <w:b w:val="0"/>
                <w:color w:val="000000"/>
                <w:sz w:val="20"/>
              </w:rPr>
              <w:t>Revisión final y presentación del informe.</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sectPr w:rsidR="00FC693F" w:rsidRPr="0006063C" w:rsidSect="00034616">
      <w:footerReference w:type="default" r:id="rId16"/>
      <w:type w:val="continuous"/>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