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 (IUTECP)</w:t>
        <w:br/>
      </w:r>
      <w:r>
        <w:rPr>
          <w:rFonts w:ascii="Times New Roman" w:hAnsi="Times New Roman"/>
          <w:b/>
          <w:sz w:val="24"/>
        </w:rPr>
        <w:t>EL TIGRE, ESTADO ANZOÁTEGUI</w:t>
      </w:r>
    </w:p>
    <w:p>
      <w:pPr>
        <w:spacing w:line="276" w:lineRule="auto" w:before="3844"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line="276" w:lineRule="auto" w:before="2281" w:after="0"/>
        <w:jc w:val="right"/>
      </w:pPr>
      <w:r>
        <w:rPr>
          <w:rFonts w:ascii="Times New Roman" w:hAnsi="Times New Roman"/>
          <w:b/>
          <w:sz w:val="24"/>
        </w:rPr>
        <w:t>Autor: Juliano Cardona</w:t>
        <w:br/>
      </w:r>
      <w:r>
        <w:rPr>
          <w:rFonts w:ascii="Times New Roman" w:hAnsi="Times New Roman"/>
          <w:b/>
          <w:sz w:val="24"/>
        </w:rPr>
        <w:t>C.I.: 32.281.199</w:t>
      </w:r>
    </w:p>
    <w:p>
      <w:pPr>
        <w:spacing w:line="276" w:lineRule="auto" w:before="2309" w:after="0"/>
        <w:jc w:val="center"/>
      </w:pPr>
      <w:r>
        <w:rPr>
          <w:rFonts w:ascii="Times New Roman" w:hAnsi="Times New Roman"/>
          <w:sz w:val="24"/>
        </w:rPr>
        <w:t>El Tigre, julio de 2026</w:t>
      </w:r>
    </w:p>
    <w:p>
      <w:pPr>
        <w:sectPr>
          <w:footerReference w:type="default" r:id="rId11"/>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 (IUTECP)</w:t>
        <w:br/>
      </w:r>
      <w:r>
        <w:rPr>
          <w:rFonts w:ascii="Times New Roman" w:hAnsi="Times New Roman"/>
          <w:b/>
          <w:sz w:val="24"/>
        </w:rPr>
        <w:t>EL TIGRE, ESTADO ANZOÁTEGUI</w:t>
      </w:r>
    </w:p>
    <w:p>
      <w:pPr>
        <w:spacing w:line="276" w:lineRule="auto" w:before="3844"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line="276" w:lineRule="auto" w:before="2281" w:after="0"/>
        <w:jc w:val="right"/>
      </w:pPr>
      <w:r>
        <w:rPr>
          <w:rFonts w:ascii="Times New Roman" w:hAnsi="Times New Roman"/>
          <w:b/>
          <w:sz w:val="24"/>
        </w:rPr>
        <w:t>Autor: Juliano Cardona</w:t>
        <w:br/>
      </w:r>
      <w:r>
        <w:rPr>
          <w:rFonts w:ascii="Times New Roman" w:hAnsi="Times New Roman"/>
          <w:b/>
          <w:sz w:val="24"/>
        </w:rPr>
        <w:t>C.I.: 32.281.199</w:t>
        <w:br/>
      </w:r>
      <w:r>
        <w:rPr>
          <w:rFonts w:ascii="Times New Roman" w:hAnsi="Times New Roman"/>
          <w:b/>
          <w:sz w:val="24"/>
        </w:rPr>
        <w:br/>
      </w:r>
      <w:r>
        <w:rPr>
          <w:rFonts w:ascii="Times New Roman" w:hAnsi="Times New Roman"/>
          <w:b/>
          <w:sz w:val="24"/>
        </w:rPr>
        <w:t>Tutor Industrial: Ing. Yasmin Sabaneta</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 Lic. Carlos Mendoza</w:t>
      </w:r>
    </w:p>
    <w:p>
      <w:pPr>
        <w:spacing w:line="276" w:lineRule="auto" w:before="929"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titlePg/>
          <w:docGrid w:linePitch="360"/>
        </w:sectPr>
      </w:pPr>
    </w:p>
    <w:p>
      <w:bookmarkStart w:id="bm_dedicatoria" w:name="bm_dedicatoria"/>
      <w:pPr>
        <w:spacing w:after="480"/>
        <w:jc w:val="center"/>
      </w:pPr>
      <w:r>
        <w:rPr>
          <w:rFonts w:ascii="Times New Roman" w:hAnsi="Times New Roman"/>
          <w:b/>
          <w:sz w:val="24"/>
        </w:rPr>
        <w:t>DEDICATORIA</w:t>
      </w:r>
      <w:bookmarkEnd w:id="bm_dedicatoria"/>
    </w:p>
    <w:p>
      <w:pPr>
        <w:sectPr>
          <w:footerReference w:type="default" r:id="rId13"/>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14"/>
          <w:type w:val="continuous"/>
          <w:pgSz w:w="12240" w:h="15840"/>
          <w:pgMar w:top="1701" w:right="1701" w:bottom="1701" w:left="2268" w:header="720" w:footer="720" w:gutter="0"/>
          <w:cols w:space="720"/>
          <w:titlePg/>
          <w:docGrid w:linePitch="360"/>
        </w:sectPr>
      </w:pPr>
    </w:p>
    <w:p>
      <w:bookmarkStart w:id="bm_agradecimientos" w:name="bm_agradecimientos"/>
      <w:pPr>
        <w:spacing w:after="480"/>
        <w:jc w:val="center"/>
      </w:pPr>
      <w:r>
        <w:rPr>
          <w:rFonts w:ascii="Times New Roman" w:hAnsi="Times New Roman"/>
          <w:b/>
          <w:sz w:val="24"/>
        </w:rPr>
        <w:t>AGRADECIMIENTOS</w:t>
      </w:r>
      <w:bookmarkEnd w:id="bm_agradecimientos"/>
    </w:p>
    <w:p>
      <w:pPr>
        <w:sectPr>
          <w:footerReference w:type="default" r:id="rId15"/>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16"/>
          <w:type w:val="continuous"/>
          <w:pgSz w:w="12240" w:h="15840"/>
          <w:pgMar w:top="1701" w:right="1701" w:bottom="1701" w:left="2268" w:header="720" w:footer="720" w:gutter="0"/>
          <w:cols w:space="720"/>
          <w:titlePg/>
          <w:docGrid w:linePitch="360"/>
        </w:sectPr>
      </w:pPr>
    </w:p>
    <w:p>
      <w:bookmarkStart w:id="bm_resumen" w:name="bm_resumen"/>
      <w:pPr>
        <w:spacing w:after="480"/>
        <w:jc w:val="center"/>
      </w:pPr>
      <w:r>
        <w:rPr>
          <w:rFonts w:ascii="Times New Roman" w:hAnsi="Times New Roman"/>
          <w:b/>
          <w:sz w:val="24"/>
        </w:rPr>
        <w:t>RESUMEN</w:t>
      </w:r>
      <w:bookmarkEnd w:id="bm_resumen"/>
    </w:p>
    <w:p>
      <w:pPr>
        <w:sectPr>
          <w:footerReference w:type="default" r:id="rId17"/>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el diseño de un sistema automatizado para el control, trazabilidad y reporte de movimientos documentales en la Presidencia de la Empresa Mixta Petrolera Venangocupet, S.A. La investigación se enmarca en la modalidad de proyecto factible apoyado en un diagnóstico de campo. Durante el estudio se identificaron demoras operativas derivadas de la transcripción manual en hojas de cálculo y deficiencias en la generación de reportes inmediatos ante altos volúmenes de concurrencia. La solución tecnológica abarca el modelado lógico de datos en SQLite y la construcción de una aplicación de escritorio mediante código HTML empaquetado con el framework Wails, optimizando el registro, búsqueda y auditoría del flujo documental para fortalecer la toma de decisiones gerenciales.</w:t>
      </w:r>
    </w:p>
    <w:p/>
    <w:p>
      <w:pPr>
        <w:ind w:firstLine="709"/>
      </w:pPr>
      <w:r>
        <w:rPr>
          <w:b/>
        </w:rPr>
        <w:t xml:space="preserve">Palabras claves: </w:t>
      </w:r>
      <w:r>
        <w:t>sistema, trazabilidad, automatización, Wails, proyecto factible, pasantías.</w:t>
      </w:r>
    </w:p>
    <w:p>
      <w:pPr>
        <w:sectPr>
          <w:footerReference w:type="default" r:id="rId18"/>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ÍNDICE DE CONTENIDO</w:t>
      </w:r>
    </w:p>
    <w:p>
      <w:pPr>
        <w:sectPr>
          <w:footerReference w:type="default" r:id="rId19"/>
          <w:pgSz w:w="12240" w:h="15840"/>
          <w:pgMar w:top="2835"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0"/>
          <w:type w:val="continuous"/>
          <w:pgSz w:w="12240" w:h="15840"/>
          <w:pgMar w:top="1701" w:right="1701" w:bottom="1701" w:left="2268" w:header="720" w:footer="720" w:gutter="0"/>
          <w:cols w:space="720"/>
          <w:titlePg/>
          <w:docGrid w:linePitch="360"/>
        </w:sectPr>
      </w:pPr>
    </w:p>
    <w:p>
      <w:bookmarkStart w:id="bm_lista_cuadros" w:name="bm_lista_cuadros"/>
      <w:pPr>
        <w:spacing w:after="480"/>
        <w:jc w:val="center"/>
      </w:pPr>
      <w:r>
        <w:rPr>
          <w:rFonts w:ascii="Times New Roman" w:hAnsi="Times New Roman"/>
          <w:b/>
          <w:sz w:val="24"/>
        </w:rPr>
        <w:t>LISTA DE CUADROS</w:t>
      </w:r>
      <w:bookmarkEnd w:id="bm_lista_cuadros"/>
    </w:p>
    <w:p>
      <w:pPr>
        <w:sectPr>
          <w:footerReference w:type="default" r:id="rId21"/>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 factible</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2"/>
          <w:type w:val="continuous"/>
          <w:pgSz w:w="12240" w:h="15840"/>
          <w:pgMar w:top="1701" w:right="1701" w:bottom="1701" w:left="2268" w:header="720" w:footer="720" w:gutter="0"/>
          <w:cols w:space="720"/>
          <w:titlePg/>
          <w:docGrid w:linePitch="360"/>
        </w:sectPr>
      </w:pPr>
    </w:p>
    <w:p>
      <w:bookmarkStart w:id="bm_lista_graficos" w:name="bm_lista_graficos"/>
      <w:pPr>
        <w:spacing w:after="480"/>
        <w:jc w:val="center"/>
      </w:pPr>
      <w:r>
        <w:rPr>
          <w:rFonts w:ascii="Times New Roman" w:hAnsi="Times New Roman"/>
          <w:b/>
          <w:sz w:val="24"/>
        </w:rPr>
        <w:t>LISTA DE GRÁFICOS</w:t>
      </w:r>
      <w:bookmarkEnd w:id="bm_lista_graficos"/>
    </w:p>
    <w:p>
      <w:pPr>
        <w:sectPr>
          <w:footerReference w:type="default" r:id="rId23"/>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Organigrama estructural y niveles jerárquicos de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del Departamento de Presidencia.</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4"/>
          <w:type w:val="continuous"/>
          <w:pgSz w:w="12240" w:h="15840"/>
          <w:pgMar w:top="1701" w:right="1701" w:bottom="1701" w:left="2268" w:header="720" w:footer="720" w:gutter="0"/>
          <w:cols w:space="720"/>
          <w:titlePg/>
          <w:docGrid w:linePitch="360"/>
        </w:sectPr>
      </w:pPr>
    </w:p>
    <w:p>
      <w:bookmarkStart w:id="bm_lista_anexos" w:name="bm_lista_anexos"/>
      <w:pPr>
        <w:spacing w:after="480"/>
        <w:jc w:val="center"/>
      </w:pPr>
      <w:r>
        <w:rPr>
          <w:rFonts w:ascii="Times New Roman" w:hAnsi="Times New Roman"/>
          <w:b/>
          <w:sz w:val="24"/>
        </w:rPr>
        <w:t>LISTA DE ANEXOS</w:t>
      </w:r>
      <w:bookmarkEnd w:id="bm_lista_anexos"/>
    </w:p>
    <w:p>
      <w:pPr>
        <w:sectPr>
          <w:footerReference w:type="default" r:id="rId25"/>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Diagrama Entidad-Relación de la Base de Datos</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Capturas de la Interfaz del Sistema (Wails/HTML)</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Memoria Fotográfica del Área de Presidencia</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6"/>
          <w:type w:val="continuous"/>
          <w:pgSz w:w="12240" w:h="15840"/>
          <w:pgMar w:top="1701" w:right="1701" w:bottom="1701" w:left="2268" w:header="720" w:footer="720" w:gutter="0"/>
          <w:cols w:space="720"/>
          <w:titlePg/>
          <w:docGrid w:linePitch="360"/>
        </w:sectPr>
      </w:pPr>
    </w:p>
    <w:p>
      <w:bookmarkStart w:id="bm_introduccion" w:name="bm_introduccion"/>
      <w:pPr>
        <w:spacing w:after="480"/>
        <w:jc w:val="center"/>
      </w:pPr>
      <w:r>
        <w:rPr>
          <w:rFonts w:ascii="Times New Roman" w:hAnsi="Times New Roman"/>
          <w:b/>
          <w:sz w:val="24"/>
        </w:rPr>
        <w:t>INTRODUCCIÓN</w:t>
      </w:r>
      <w:bookmarkEnd w:id="bm_introduccion"/>
    </w:p>
    <w:p>
      <w:pPr>
        <w:sectPr>
          <w:footerReference w:type="default" r:id="rId27"/>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Informática, tiene como propósito proponer un sistema automatizado para el control de movimientos documentales en la Presidencia de Venangocupet, S.A. Este desarrollo busca sustituir el registro manual por una herramienta tecnológica de escritorio ágil y moderna, que garantice la trazabilidad de los expedientes, optimizando los tiempos de respuesta y dotando al departamento de un control exacto sobre la entrada y salida de oficios en alta dirección.</w:t>
      </w:r>
    </w:p>
    <w:p>
      <w:pPr>
        <w:sectPr>
          <w:footerReference w:type="default" r:id="rId28"/>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29"/>
          <w:pgSz w:w="12240" w:h="15840"/>
          <w:pgMar w:top="2835" w:right="1701" w:bottom="1701" w:left="2268" w:header="720" w:footer="720" w:gutter="0"/>
          <w:cols w:space="720"/>
          <w:titlePg/>
          <w:docGrid w:linePitch="360"/>
        </w:sectPr>
      </w:pPr>
    </w:p>
    <w:p>
      <w:bookmarkStart w:id="bm_cap1_ident" w:name="bm_cap1_ident"/>
      <w:pPr>
        <w:spacing w:before="480" w:after="480" w:line="360" w:lineRule="auto"/>
        <w:jc w:val="left"/>
      </w:pPr>
      <w:r>
        <w:rPr>
          <w:rFonts w:ascii="Times New Roman" w:hAnsi="Times New Roman"/>
          <w:b/>
          <w:sz w:val="24"/>
        </w:rPr>
        <w:t>IDENTIFICACIÓN DE LA EMPRESA</w:t>
      </w:r>
      <w:bookmarkEnd w:id="bm_cap1_ident"/>
    </w:p>
    <w:p>
      <w:pPr>
        <w:spacing w:line="360" w:lineRule="auto" w:after="0" w:before="0"/>
        <w:ind w:firstLine="709"/>
        <w:jc w:val="both"/>
      </w:pPr>
      <w:r>
        <w:rPr>
          <w:rFonts w:ascii="Times New Roman" w:hAnsi="Times New Roman"/>
          <w:i w:val="0"/>
          <w:sz w:val="24"/>
        </w:rPr>
        <w:t>La práctica profesional se desarrolla en la Empresa Mixta Petrolera Venangocupet, S.A., entidad filial de la Corporación Venezolana de Petróleo (CVP). Su actividad principal se centra en la exploración y producción primaria de hidrocarburos, operando bajo los lineamientos estratégicos de la División Ayacucho de la Faja Petrolífera del Orinoco.</w:t>
      </w:r>
    </w:p>
    <w:p>
      <w:pPr>
        <w:spacing w:before="240" w:after="240" w:line="360" w:lineRule="auto"/>
        <w:ind w:firstLine="709"/>
        <w:jc w:val="left"/>
      </w:pPr>
      <w:r>
        <w:rPr>
          <w:rFonts w:ascii="Times New Roman" w:hAnsi="Times New Roman"/>
          <w:b/>
          <w:i/>
          <w:sz w:val="24"/>
        </w:rPr>
        <w:t>1.1.1 Razón social</w:t>
      </w:r>
    </w:p>
    <w:p>
      <w:pPr>
        <w:spacing w:line="360" w:lineRule="auto" w:after="0" w:before="0"/>
        <w:ind w:firstLine="0"/>
        <w:jc w:val="both"/>
      </w:pPr>
      <w:r>
        <w:rPr>
          <w:rFonts w:ascii="Times New Roman" w:hAnsi="Times New Roman"/>
          <w:i w:val="0"/>
          <w:sz w:val="24"/>
        </w:rPr>
        <w:t>Empresa Mixta Petrolera Venangocupet, S.A.</w:t>
      </w:r>
    </w:p>
    <w:p>
      <w:bookmarkStart w:id="bm_cap1_resena" w:name="bm_cap1_resena"/>
      <w:pPr>
        <w:spacing w:before="240" w:after="240" w:line="360" w:lineRule="auto"/>
        <w:ind w:firstLine="709"/>
        <w:jc w:val="left"/>
      </w:pPr>
      <w:r>
        <w:rPr>
          <w:rFonts w:ascii="Times New Roman" w:hAnsi="Times New Roman"/>
          <w:b/>
          <w:i/>
          <w:sz w:val="24"/>
        </w:rPr>
        <w:t>1.1.2 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240" w:after="240" w:line="360" w:lineRule="auto"/>
        <w:ind w:firstLine="709"/>
        <w:jc w:val="left"/>
      </w:pPr>
      <w:r>
        <w:rPr>
          <w:rFonts w:ascii="Times New Roman" w:hAnsi="Times New Roman"/>
          <w:b/>
          <w:i/>
          <w:sz w:val="24"/>
        </w:rPr>
        <w:t>1.1.3 Misión</w:t>
      </w:r>
      <w:bookmarkEnd w:id="bm_cap1_mision"/>
    </w:p>
    <w:p>
      <w:pPr>
        <w:spacing w:line="360" w:lineRule="auto" w:after="0" w:before="0"/>
        <w:ind w:firstLine="709"/>
        <w:jc w:val="both"/>
      </w:pPr>
      <w:r>
        <w:rPr>
          <w:rFonts w:ascii="Times New Roman" w:hAnsi="Times New Roman"/>
          <w:i/>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240" w:after="240" w:line="360" w:lineRule="auto"/>
        <w:ind w:firstLine="709"/>
        <w:jc w:val="left"/>
      </w:pPr>
      <w:r>
        <w:rPr>
          <w:rFonts w:ascii="Times New Roman" w:hAnsi="Times New Roman"/>
          <w:b/>
          <w:i/>
          <w:sz w:val="24"/>
        </w:rPr>
        <w:t>1.1.4 Visión</w:t>
      </w:r>
      <w:bookmarkEnd w:id="bm_cap1_vision"/>
    </w:p>
    <w:p>
      <w:pPr>
        <w:spacing w:line="360" w:lineRule="auto" w:after="0" w:before="0"/>
        <w:ind w:firstLine="709"/>
        <w:jc w:val="both"/>
      </w:pPr>
      <w:r>
        <w:rPr>
          <w:rFonts w:ascii="Times New Roman" w:hAnsi="Times New Roman"/>
          <w:i/>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240" w:after="240" w:line="360" w:lineRule="auto"/>
        <w:ind w:firstLine="709"/>
        <w:jc w:val="left"/>
      </w:pPr>
      <w:r>
        <w:rPr>
          <w:rFonts w:ascii="Times New Roman" w:hAnsi="Times New Roman"/>
          <w:b/>
          <w:i/>
          <w:sz w:val="24"/>
        </w:rPr>
        <w:t>1.1.5 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240" w:after="240" w:line="360" w:lineRule="auto"/>
        <w:ind w:firstLine="709"/>
        <w:jc w:val="left"/>
      </w:pPr>
      <w:r>
        <w:rPr>
          <w:rFonts w:ascii="Times New Roman" w:hAnsi="Times New Roman"/>
          <w:b/>
          <w:i/>
          <w:sz w:val="24"/>
        </w:rPr>
        <w:t>1.1.6 Objetivos Organizacionales</w:t>
      </w:r>
      <w:bookmarkEnd w:id="bm_cap1_obj"/>
    </w:p>
    <w:p>
      <w:pPr>
        <w:spacing w:line="360" w:lineRule="auto" w:after="0" w:before="0"/>
        <w:ind w:firstLine="709"/>
        <w:jc w:val="both"/>
      </w:pPr>
      <w:r>
        <w:rPr>
          <w:rFonts w:ascii="Times New Roman" w:hAnsi="Times New Roman"/>
          <w:i w:val="0"/>
          <w:sz w:val="24"/>
        </w:rPr>
        <w:t>Entre sus objetivos organizacionales se encuentran:</w:t>
      </w:r>
    </w:p>
    <w:p>
      <w:pPr>
        <w:spacing w:line="360" w:lineRule="auto"/>
        <w:ind w:firstLine="709"/>
        <w:jc w:val="both"/>
      </w:pPr>
      <w:r>
        <w:rPr>
          <w:rFonts w:ascii="Times New Roman" w:hAnsi="Times New Roman"/>
          <w:sz w:val="24"/>
        </w:rPr>
        <w:t xml:space="preserve">1. </w:t>
      </w:r>
      <w:r>
        <w:rPr>
          <w:rFonts w:ascii="Times New Roman" w:hAnsi="Times New Roman"/>
          <w:sz w:val="24"/>
        </w:rPr>
        <w:t>Maximizar la recuperación eficiente y segura de las reservas de hidrocarburos asignadas.</w:t>
      </w:r>
    </w:p>
    <w:p>
      <w:pPr>
        <w:spacing w:line="360" w:lineRule="auto"/>
        <w:ind w:firstLine="709"/>
        <w:jc w:val="both"/>
      </w:pPr>
      <w:r>
        <w:rPr>
          <w:rFonts w:ascii="Times New Roman" w:hAnsi="Times New Roman"/>
          <w:sz w:val="24"/>
        </w:rPr>
        <w:t xml:space="preserve">2. </w:t>
      </w:r>
      <w:r>
        <w:rPr>
          <w:rFonts w:ascii="Times New Roman" w:hAnsi="Times New Roman"/>
          <w:sz w:val="24"/>
        </w:rPr>
        <w:t>Minimizar los costos operativos mediante la optimización de recursos tecnológicos y logísticos.</w:t>
      </w:r>
    </w:p>
    <w:p>
      <w:pPr>
        <w:spacing w:line="360" w:lineRule="auto"/>
        <w:ind w:firstLine="709"/>
        <w:jc w:val="both"/>
      </w:pPr>
      <w:r>
        <w:rPr>
          <w:rFonts w:ascii="Times New Roman" w:hAnsi="Times New Roman"/>
          <w:sz w:val="24"/>
        </w:rPr>
        <w:t xml:space="preserve">3. </w:t>
      </w:r>
      <w:r>
        <w:rPr>
          <w:rFonts w:ascii="Times New Roman" w:hAnsi="Times New Roman"/>
          <w:sz w:val="24"/>
        </w:rPr>
        <w:t>Garantizar la trazabilidad y el reporte oportuno de la información administrativa de la empresa.</w:t>
      </w:r>
    </w:p>
    <w:p>
      <w:bookmarkStart w:id="bm_cap1_ubic" w:name="bm_cap1_ubic"/>
      <w:pPr>
        <w:spacing w:before="240" w:after="240" w:line="360" w:lineRule="auto"/>
        <w:ind w:firstLine="709"/>
        <w:jc w:val="left"/>
      </w:pPr>
      <w:r>
        <w:rPr>
          <w:rFonts w:ascii="Times New Roman" w:hAnsi="Times New Roman"/>
          <w:b/>
          <w:i/>
          <w:sz w:val="24"/>
        </w:rPr>
        <w:t>1.1.7 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encuentra ubicada en el sur del estado Anzoátegui, operando geográficamente en los bloques asignados dentro de la División Ayacucho, Faja Petrolífera del Orinoco.</w:t>
      </w:r>
    </w:p>
    <w:p>
      <w:bookmarkStart w:id="bm_cap1_pobla" w:name="bm_cap1_pobla"/>
      <w:pPr>
        <w:spacing w:before="240" w:after="240" w:line="360" w:lineRule="auto"/>
        <w:ind w:firstLine="709"/>
        <w:jc w:val="left"/>
      </w:pPr>
      <w:r>
        <w:rPr>
          <w:rFonts w:ascii="Times New Roman" w:hAnsi="Times New Roman"/>
          <w:b/>
          <w:i/>
          <w:sz w:val="24"/>
        </w:rPr>
        <w:t>1.1.8 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la organización refleja un equipo multidisciplinario especializado en la gestión administrativa y operativa. La población total del personal directo asciende a 107 trabajadores.</w:t>
      </w:r>
    </w:p>
    <w:p>
      <w:pPr>
        <w:spacing w:line="360" w:lineRule="auto" w:after="0" w:before="0"/>
        <w:ind w:firstLine="709"/>
        <w:jc w:val="both"/>
      </w:pPr>
      <w:r>
        <w:rPr>
          <w:rFonts w:ascii="Times New Roman" w:hAnsi="Times New Roman"/>
          <w:i w:val="0"/>
          <w:sz w:val="24"/>
        </w:rPr>
        <w:t>El Departamento de Presidencia, donde se desarrolló la investigación técnica, actúa como el nodo principal de recepción, revisión y canalización de correspondencia ejecutiva. Su operatividad exige un alto nivel de eficiencia en el control de flujos documentales concurrentes.</w:t>
      </w:r>
    </w:p>
    <w:p>
      <w:bookmarkStart w:id="bm_cap1_estruct" w:name="bm_cap1_estruct"/>
      <w:pPr>
        <w:spacing w:before="240" w:after="240" w:line="360" w:lineRule="auto"/>
        <w:ind w:firstLine="709"/>
        <w:jc w:val="left"/>
      </w:pPr>
      <w:r>
        <w:rPr>
          <w:rFonts w:ascii="Times New Roman" w:hAnsi="Times New Roman"/>
          <w:b/>
          <w:i/>
          <w:sz w:val="24"/>
        </w:rPr>
        <w:t>1.1.9 Estructura Organizativa</w:t>
      </w:r>
      <w:bookmarkEnd w:id="bm_cap1_estruct"/>
    </w:p>
    <w:p>
      <w:pPr>
        <w:spacing w:line="360" w:lineRule="auto" w:after="0" w:before="0"/>
        <w:ind w:firstLine="709"/>
        <w:jc w:val="both"/>
      </w:pPr>
      <w:r>
        <w:rPr>
          <w:rFonts w:ascii="Times New Roman" w:hAnsi="Times New Roman"/>
          <w:i w:val="0"/>
          <w:sz w:val="24"/>
        </w:rPr>
        <w:t>La arquitectura organizativa de Venangocupet, S.A. se fundamenta en un modelo jerárquico-funcional. La empresa está encabezada por la Junta Directiva y la Presidencia. A continuación, se presenta el organigrama general destacando el Área de Presidencia, contexto en el cual se aplicó el desarrollo tecnológico.</w:t>
      </w:r>
    </w:p>
    <w:p>
      <w:pPr>
        <w:spacing w:before="480"/>
        <w:jc w:val="center"/>
      </w:pPr>
      <w:r>
        <w:drawing>
          <wp:inline xmlns:a="http://schemas.openxmlformats.org/drawingml/2006/main" xmlns:pic="http://schemas.openxmlformats.org/drawingml/2006/picture">
            <wp:extent cx="4320000" cy="3674391"/>
            <wp:docPr id="1" name="Picture 1"/>
            <wp:cNvGraphicFramePr>
              <a:graphicFrameLocks noChangeAspect="1"/>
            </wp:cNvGraphicFramePr>
            <a:graphic>
              <a:graphicData uri="http://schemas.openxmlformats.org/drawingml/2006/picture">
                <pic:pic>
                  <pic:nvPicPr>
                    <pic:cNvPr id="0" name="1.png"/>
                    <pic:cNvPicPr/>
                  </pic:nvPicPr>
                  <pic:blipFill>
                    <a:blip r:embed="rId9"/>
                    <a:stretch>
                      <a:fillRect/>
                    </a:stretch>
                  </pic:blipFill>
                  <pic:spPr>
                    <a:xfrm>
                      <a:off x="0" y="0"/>
                      <a:ext cx="4320000" cy="3674391"/>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Organigrama estructural y niveles jerárquicos de Venangocupet, S.A.</w:t>
      </w:r>
      <w:bookmarkEnd w:id="bm_grafico1"/>
    </w:p>
    <w:p>
      <w:pPr>
        <w:spacing w:before="480"/>
        <w:jc w:val="center"/>
      </w:pPr>
      <w:r>
        <w:drawing>
          <wp:inline xmlns:a="http://schemas.openxmlformats.org/drawingml/2006/main" xmlns:pic="http://schemas.openxmlformats.org/drawingml/2006/picture">
            <wp:extent cx="4320000" cy="2880000"/>
            <wp:docPr id="2" name="Picture 2"/>
            <wp:cNvGraphicFramePr>
              <a:graphicFrameLocks noChangeAspect="1"/>
            </wp:cNvGraphicFramePr>
            <a:graphic>
              <a:graphicData uri="http://schemas.openxmlformats.org/drawingml/2006/picture">
                <pic:pic>
                  <pic:nvPicPr>
                    <pic:cNvPr id="0" name="2.png"/>
                    <pic:cNvPicPr/>
                  </pic:nvPicPr>
                  <pic:blipFill>
                    <a:blip r:embed="rId10"/>
                    <a:stretch>
                      <a:fillRect/>
                    </a:stretch>
                  </pic:blipFill>
                  <pic:spPr>
                    <a:xfrm>
                      <a:off x="0" y="0"/>
                      <a:ext cx="4320000" cy="2880000"/>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del Departamento de Presidencia.</w:t>
      </w:r>
      <w:bookmarkEnd w:id="bm_grafico2"/>
    </w:p>
    <w:p>
      <w:pPr>
        <w:sectPr>
          <w:footerReference w:type="default" r:id="rId30"/>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1"/>
          <w:pgSz w:w="12240" w:h="15840"/>
          <w:pgMar w:top="2835"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El proceso administrativo en el Departamento de Presidencia funciona estrictamente como un nodo de tránsito y validación. El flujo procedimental consiste en recibir expedientes externos, someterlos a revisión ortográfica y de formato, y registrarlos para su entrega al Presidente de la empresa. Una vez firmados, se registra su salida y se despachan de forma inmediata hacia su departamento de destino, sin retener documentos propios de forma permanente.</w:t>
      </w:r>
    </w:p>
    <w:p>
      <w:pPr>
        <w:spacing w:line="360" w:lineRule="auto" w:after="0" w:before="0"/>
        <w:ind w:firstLine="709"/>
        <w:jc w:val="both"/>
      </w:pPr>
      <w:r>
        <w:rPr>
          <w:rFonts w:ascii="Times New Roman" w:hAnsi="Times New Roman"/>
          <w:i w:val="0"/>
          <w:sz w:val="24"/>
        </w:rPr>
        <w:t>Actualmente, el control de este ciclo se ejecuta mediante hojas de cálculo convencionales. El flujo de expedientes es azaroso, alternando entre volúmenes mínimos y escenarios de ingresos masivos concurrentes. En dichos picos de alta demanda, el registro basado en el copiado y pegado manual de datos repetitivos ralentiza severamente el procesamiento y propicia errores humanos, tales como la duplicación de datos o la omisión de movimientos críticos.</w:t>
      </w:r>
    </w:p>
    <w:p>
      <w:pPr>
        <w:spacing w:line="360" w:lineRule="auto" w:after="0" w:before="0"/>
        <w:ind w:firstLine="709"/>
        <w:jc w:val="both"/>
      </w:pPr>
      <w:r>
        <w:rPr>
          <w:rFonts w:ascii="Times New Roman" w:hAnsi="Times New Roman"/>
          <w:i w:val="0"/>
          <w:sz w:val="24"/>
        </w:rPr>
        <w:t>Adicionalmente, este mecanismo dificulta la generación de reportes inmediatos. Cuando la alta dirección solicita conocer el resumen de documentos firmados en el mes o el estatus de los expedientes pendientes por firma, el personal debe filtrar, interpretar y redactar la información manualmente. Esto retrasa la respuesta operativa del departamento y evidencia la necesidad inminente de un salto tecnológico hacia la automatización.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el desarrollo de un sistema automatizado para el control, trazabilidad y reporte de movimientos documentales en la Presidencia de la Empresa Mixta Petrolera Venangocupet, S.A., bajo la modalidad de proyecto factible.</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la situación actual del flujo procedimental de recepción, firma y derivación de expedientes en el área de Presidencia.</w:t>
      </w:r>
    </w:p>
    <w:p>
      <w:pPr>
        <w:spacing w:line="360" w:lineRule="auto"/>
        <w:ind w:firstLine="709"/>
        <w:jc w:val="both"/>
      </w:pPr>
      <w:r>
        <w:rPr>
          <w:rFonts w:ascii="Times New Roman" w:hAnsi="Times New Roman"/>
          <w:sz w:val="24"/>
        </w:rPr>
        <w:t xml:space="preserve">2. </w:t>
      </w:r>
      <w:r>
        <w:rPr>
          <w:rFonts w:ascii="Times New Roman" w:hAnsi="Times New Roman"/>
          <w:sz w:val="24"/>
        </w:rPr>
        <w:t>Determinar los requerimientos técnicos y funcionales necesarios para la base de datos de trazabilidad documental.</w:t>
      </w:r>
    </w:p>
    <w:p>
      <w:pPr>
        <w:spacing w:line="360" w:lineRule="auto"/>
        <w:ind w:firstLine="709"/>
        <w:jc w:val="both"/>
      </w:pPr>
      <w:r>
        <w:rPr>
          <w:rFonts w:ascii="Times New Roman" w:hAnsi="Times New Roman"/>
          <w:sz w:val="24"/>
        </w:rPr>
        <w:t xml:space="preserve">3. </w:t>
      </w:r>
      <w:r>
        <w:rPr>
          <w:rFonts w:ascii="Times New Roman" w:hAnsi="Times New Roman"/>
          <w:sz w:val="24"/>
        </w:rPr>
        <w:t>Diseñar la arquitectura lógica del sistema relacional y la interfaz gráfica de usuario para el entorno de escritorio.</w:t>
      </w:r>
    </w:p>
    <w:p>
      <w:pPr>
        <w:spacing w:line="360" w:lineRule="auto"/>
        <w:ind w:firstLine="709"/>
        <w:jc w:val="both"/>
      </w:pPr>
      <w:r>
        <w:rPr>
          <w:rFonts w:ascii="Times New Roman" w:hAnsi="Times New Roman"/>
          <w:sz w:val="24"/>
        </w:rPr>
        <w:t xml:space="preserve">4. </w:t>
      </w:r>
      <w:r>
        <w:rPr>
          <w:rFonts w:ascii="Times New Roman" w:hAnsi="Times New Roman"/>
          <w:sz w:val="24"/>
        </w:rPr>
        <w:t>Desarrollar un prototipo funcional del sistema empleando bases de datos y tecnologías de empaquetado para su validación operativa.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y las actividades técnicas a ejecutar para el desarrollo del proyecto factible:</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Diagnosticar el flujo procedimental actual de los movimientos documentales.</w:t>
            </w:r>
          </w:p>
        </w:tc>
        <w:tc>
          <w:tcPr>
            <w:tcW w:w="2551" w:type="dxa"/>
            <w:shd w:val="clear" w:color="auto" w:fill="FFFFFF"/>
          </w:tcPr>
          <w:p>
            <w:pPr>
              <w:spacing w:before="60" w:after="60" w:line="240" w:lineRule="auto"/>
              <w:jc w:val="both"/>
            </w:pPr>
            <w:r>
              <w:rPr>
                <w:rFonts w:ascii="Times New Roman" w:hAnsi="Times New Roman"/>
                <w:b w:val="0"/>
                <w:color w:val="000000"/>
                <w:sz w:val="20"/>
              </w:rPr>
              <w:t>Observación directa del ciclo de expedientes y análisis de las fallas en las hojas de cálculo existentes.</w:t>
            </w:r>
          </w:p>
        </w:tc>
        <w:tc>
          <w:tcPr>
            <w:tcW w:w="1701" w:type="dxa"/>
            <w:shd w:val="clear" w:color="auto" w:fill="FFFFFF"/>
          </w:tcPr>
          <w:p>
            <w:pPr>
              <w:spacing w:before="60" w:after="60" w:line="240" w:lineRule="auto"/>
              <w:jc w:val="both"/>
            </w:pPr>
            <w:r>
              <w:rPr>
                <w:rFonts w:ascii="Times New Roman" w:hAnsi="Times New Roman"/>
                <w:b w:val="0"/>
                <w:color w:val="000000"/>
                <w:sz w:val="20"/>
              </w:rPr>
              <w:t>Cuaderno de notas, registros de Excel</w:t>
            </w:r>
          </w:p>
        </w:tc>
        <w:tc>
          <w:tcPr>
            <w:tcW w:w="1984" w:type="dxa"/>
            <w:shd w:val="clear" w:color="auto" w:fill="FFFFFF"/>
          </w:tcPr>
          <w:p>
            <w:pPr>
              <w:spacing w:before="60" w:after="60" w:line="240" w:lineRule="auto"/>
              <w:jc w:val="both"/>
            </w:pPr>
            <w:r>
              <w:rPr>
                <w:rFonts w:ascii="Times New Roman" w:hAnsi="Times New Roman"/>
                <w:b w:val="0"/>
                <w:color w:val="000000"/>
                <w:sz w:val="20"/>
              </w:rPr>
              <w:t>Diagnóstico con identificación de debilidades en el flujo documental y la trazabilidad.</w:t>
            </w:r>
          </w:p>
        </w:tc>
      </w:tr>
      <w:tr>
        <w:tc>
          <w:tcPr>
            <w:tcW w:w="2551" w:type="dxa"/>
            <w:shd w:val="clear" w:color="auto" w:fill="D9E1F2"/>
          </w:tcPr>
          <w:p>
            <w:pPr>
              <w:spacing w:before="60" w:after="60" w:line="240" w:lineRule="auto"/>
              <w:jc w:val="both"/>
            </w:pPr>
            <w:r>
              <w:rPr>
                <w:rFonts w:ascii="Times New Roman" w:hAnsi="Times New Roman"/>
                <w:b w:val="0"/>
                <w:color w:val="000000"/>
                <w:sz w:val="20"/>
              </w:rPr>
              <w:t>Determinar los requerimientos técnicos y funcionales del sistema.</w:t>
            </w:r>
          </w:p>
        </w:tc>
        <w:tc>
          <w:tcPr>
            <w:tcW w:w="2551" w:type="dxa"/>
            <w:shd w:val="clear" w:color="auto" w:fill="D9E1F2"/>
          </w:tcPr>
          <w:p>
            <w:pPr>
              <w:spacing w:before="60" w:after="60" w:line="240" w:lineRule="auto"/>
              <w:jc w:val="both"/>
            </w:pPr>
            <w:r>
              <w:rPr>
                <w:rFonts w:ascii="Times New Roman" w:hAnsi="Times New Roman"/>
                <w:b w:val="0"/>
                <w:color w:val="000000"/>
                <w:sz w:val="20"/>
              </w:rPr>
              <w:t>Levantamiento de metadatos requeridos (fechas, remitente, estatus) y definición de reglas de validación mediante entrevista no estructurada.</w:t>
            </w:r>
          </w:p>
        </w:tc>
        <w:tc>
          <w:tcPr>
            <w:tcW w:w="1701" w:type="dxa"/>
            <w:shd w:val="clear" w:color="auto" w:fill="D9E1F2"/>
          </w:tcPr>
          <w:p>
            <w:pPr>
              <w:spacing w:before="60" w:after="60" w:line="240" w:lineRule="auto"/>
              <w:jc w:val="both"/>
            </w:pPr>
            <w:r>
              <w:rPr>
                <w:rFonts w:ascii="Times New Roman" w:hAnsi="Times New Roman"/>
                <w:b w:val="0"/>
                <w:color w:val="000000"/>
                <w:sz w:val="20"/>
              </w:rPr>
              <w:t>Formatos de requerimientos, diccionario de datos</w:t>
            </w:r>
          </w:p>
        </w:tc>
        <w:tc>
          <w:tcPr>
            <w:tcW w:w="1984" w:type="dxa"/>
            <w:shd w:val="clear" w:color="auto" w:fill="D9E1F2"/>
          </w:tcPr>
          <w:p>
            <w:pPr>
              <w:spacing w:before="60" w:after="60" w:line="240" w:lineRule="auto"/>
              <w:jc w:val="both"/>
            </w:pPr>
            <w:r>
              <w:rPr>
                <w:rFonts w:ascii="Times New Roman" w:hAnsi="Times New Roman"/>
                <w:b w:val="0"/>
                <w:color w:val="000000"/>
                <w:sz w:val="20"/>
              </w:rPr>
              <w:t>Documento de especificación de requerimientos funcionales y técnicos.</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Diseñar la arquitectura lógica y la interfaz gráfica de usuario.</w:t>
            </w:r>
          </w:p>
        </w:tc>
        <w:tc>
          <w:tcPr>
            <w:tcW w:w="2551" w:type="dxa"/>
            <w:shd w:val="clear" w:color="auto" w:fill="FFFFFF"/>
          </w:tcPr>
          <w:p>
            <w:pPr>
              <w:spacing w:before="60" w:after="60" w:line="240" w:lineRule="auto"/>
              <w:jc w:val="both"/>
            </w:pPr>
            <w:r>
              <w:rPr>
                <w:rFonts w:ascii="Times New Roman" w:hAnsi="Times New Roman"/>
                <w:b w:val="0"/>
                <w:color w:val="000000"/>
                <w:sz w:val="20"/>
              </w:rPr>
              <w:t>Modelado del diagrama Entidad-Relación y diseño de los módulos visuales mediante análisis documental.</w:t>
            </w:r>
          </w:p>
        </w:tc>
        <w:tc>
          <w:tcPr>
            <w:tcW w:w="1701" w:type="dxa"/>
            <w:shd w:val="clear" w:color="auto" w:fill="FFFFFF"/>
          </w:tcPr>
          <w:p>
            <w:pPr>
              <w:spacing w:before="60" w:after="60" w:line="240" w:lineRule="auto"/>
              <w:jc w:val="both"/>
            </w:pPr>
            <w:r>
              <w:rPr>
                <w:rFonts w:ascii="Times New Roman" w:hAnsi="Times New Roman"/>
                <w:b w:val="0"/>
                <w:color w:val="000000"/>
                <w:sz w:val="20"/>
              </w:rPr>
              <w:t>Herramientas de modelado, editores de código</w:t>
            </w:r>
          </w:p>
        </w:tc>
        <w:tc>
          <w:tcPr>
            <w:tcW w:w="1984" w:type="dxa"/>
            <w:shd w:val="clear" w:color="auto" w:fill="FFFFFF"/>
          </w:tcPr>
          <w:p>
            <w:pPr>
              <w:spacing w:before="60" w:after="60" w:line="240" w:lineRule="auto"/>
              <w:jc w:val="both"/>
            </w:pPr>
            <w:r>
              <w:rPr>
                <w:rFonts w:ascii="Times New Roman" w:hAnsi="Times New Roman"/>
                <w:b w:val="0"/>
                <w:color w:val="000000"/>
                <w:sz w:val="20"/>
              </w:rPr>
              <w:t>Diagrama Entidad-Relación y maquetado de la interfaz gráfica aprobados.</w:t>
            </w:r>
          </w:p>
        </w:tc>
      </w:tr>
      <w:tr>
        <w:tc>
          <w:tcPr>
            <w:tcW w:w="2551" w:type="dxa"/>
            <w:shd w:val="clear" w:color="auto" w:fill="D9E1F2"/>
          </w:tcPr>
          <w:p>
            <w:pPr>
              <w:spacing w:before="60" w:after="60" w:line="240" w:lineRule="auto"/>
              <w:jc w:val="both"/>
            </w:pPr>
            <w:r>
              <w:rPr>
                <w:rFonts w:ascii="Times New Roman" w:hAnsi="Times New Roman"/>
                <w:b w:val="0"/>
                <w:color w:val="000000"/>
                <w:sz w:val="20"/>
              </w:rPr>
              <w:t>Desarrollar un prototipo funcional del sistema para su validación.</w:t>
            </w:r>
          </w:p>
        </w:tc>
        <w:tc>
          <w:tcPr>
            <w:tcW w:w="2551" w:type="dxa"/>
            <w:shd w:val="clear" w:color="auto" w:fill="D9E1F2"/>
          </w:tcPr>
          <w:p>
            <w:pPr>
              <w:spacing w:before="60" w:after="60" w:line="240" w:lineRule="auto"/>
              <w:jc w:val="both"/>
            </w:pPr>
            <w:r>
              <w:rPr>
                <w:rFonts w:ascii="Times New Roman" w:hAnsi="Times New Roman"/>
                <w:b w:val="0"/>
                <w:color w:val="000000"/>
                <w:sz w:val="20"/>
              </w:rPr>
              <w:t>Implementación en SQLite, integración de la interfaz con Wails y ejecución de pruebas de escritorio.</w:t>
            </w:r>
          </w:p>
        </w:tc>
        <w:tc>
          <w:tcPr>
            <w:tcW w:w="1701" w:type="dxa"/>
            <w:shd w:val="clear" w:color="auto" w:fill="D9E1F2"/>
          </w:tcPr>
          <w:p>
            <w:pPr>
              <w:spacing w:before="60" w:after="60" w:line="240" w:lineRule="auto"/>
              <w:jc w:val="both"/>
            </w:pPr>
            <w:r>
              <w:rPr>
                <w:rFonts w:ascii="Times New Roman" w:hAnsi="Times New Roman"/>
                <w:b w:val="0"/>
                <w:color w:val="000000"/>
                <w:sz w:val="20"/>
              </w:rPr>
              <w:t>Framework Wails, motor SQLite, equipo informático</w:t>
            </w:r>
          </w:p>
        </w:tc>
        <w:tc>
          <w:tcPr>
            <w:tcW w:w="1984" w:type="dxa"/>
            <w:shd w:val="clear" w:color="auto" w:fill="D9E1F2"/>
          </w:tcPr>
          <w:p>
            <w:pPr>
              <w:spacing w:before="60" w:after="60" w:line="240" w:lineRule="auto"/>
              <w:jc w:val="both"/>
            </w:pPr>
            <w:r>
              <w:rPr>
                <w:rFonts w:ascii="Times New Roman" w:hAnsi="Times New Roman"/>
                <w:b w:val="0"/>
                <w:color w:val="000000"/>
                <w:sz w:val="20"/>
              </w:rPr>
              <w:t>Prototipo funcional validado con pruebas de escritorio exitosas.</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diseño y desarrollo del sistema automatizado, distribuidas a lo largo de las ocho (8)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 factible.</w:t>
      </w:r>
      <w:bookmarkEnd w:id="bm_cuadro2"/>
    </w:p>
    <w:tbl>
      <w:tblPr>
        <w:tblStyle w:val="TableGrid"/>
        <w:tblW w:type="auto" w:w="0"/>
        <w:tblLook w:firstColumn="1" w:firstRow="1" w:lastColumn="0" w:lastRow="0" w:noHBand="0" w:noVBand="1" w:val="04A0"/>
        <w:tblLayout w:type="fixed"/>
      </w:tblPr>
      <w:tblGrid>
        <w:gridCol w:w="4873"/>
        <w:gridCol w:w="424"/>
        <w:gridCol w:w="424"/>
        <w:gridCol w:w="424"/>
        <w:gridCol w:w="424"/>
        <w:gridCol w:w="424"/>
        <w:gridCol w:w="424"/>
        <w:gridCol w:w="424"/>
        <w:gridCol w:w="424"/>
      </w:tblGrid>
      <w:tr>
        <w:tc>
          <w:tcPr>
            <w:tcW w:w="4873"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424" w:type="dxa"/>
            <w:shd w:val="clear" w:color="auto" w:fill="4472C4"/>
          </w:tcPr>
          <w:p>
            <w:pPr>
              <w:spacing w:before="60" w:after="60" w:line="240" w:lineRule="auto"/>
              <w:jc w:val="center"/>
            </w:pPr>
            <w:r>
              <w:rPr>
                <w:rFonts w:ascii="Times New Roman" w:hAnsi="Times New Roman"/>
                <w:b/>
                <w:color w:val="FFFFFF"/>
                <w:sz w:val="18"/>
              </w:rPr>
              <w:t>S1</w:t>
            </w:r>
          </w:p>
        </w:tc>
        <w:tc>
          <w:tcPr>
            <w:tcW w:w="424" w:type="dxa"/>
            <w:shd w:val="clear" w:color="auto" w:fill="4472C4"/>
          </w:tcPr>
          <w:p>
            <w:pPr>
              <w:spacing w:before="60" w:after="60" w:line="240" w:lineRule="auto"/>
              <w:jc w:val="center"/>
            </w:pPr>
            <w:r>
              <w:rPr>
                <w:rFonts w:ascii="Times New Roman" w:hAnsi="Times New Roman"/>
                <w:b/>
                <w:color w:val="FFFFFF"/>
                <w:sz w:val="18"/>
              </w:rPr>
              <w:t>S2</w:t>
            </w:r>
          </w:p>
        </w:tc>
        <w:tc>
          <w:tcPr>
            <w:tcW w:w="424" w:type="dxa"/>
            <w:shd w:val="clear" w:color="auto" w:fill="4472C4"/>
          </w:tcPr>
          <w:p>
            <w:pPr>
              <w:spacing w:before="60" w:after="60" w:line="240" w:lineRule="auto"/>
              <w:jc w:val="center"/>
            </w:pPr>
            <w:r>
              <w:rPr>
                <w:rFonts w:ascii="Times New Roman" w:hAnsi="Times New Roman"/>
                <w:b/>
                <w:color w:val="FFFFFF"/>
                <w:sz w:val="18"/>
              </w:rPr>
              <w:t>S3</w:t>
            </w:r>
          </w:p>
        </w:tc>
        <w:tc>
          <w:tcPr>
            <w:tcW w:w="424" w:type="dxa"/>
            <w:shd w:val="clear" w:color="auto" w:fill="4472C4"/>
          </w:tcPr>
          <w:p>
            <w:pPr>
              <w:spacing w:before="60" w:after="60" w:line="240" w:lineRule="auto"/>
              <w:jc w:val="center"/>
            </w:pPr>
            <w:r>
              <w:rPr>
                <w:rFonts w:ascii="Times New Roman" w:hAnsi="Times New Roman"/>
                <w:b/>
                <w:color w:val="FFFFFF"/>
                <w:sz w:val="18"/>
              </w:rPr>
              <w:t>S4</w:t>
            </w:r>
          </w:p>
        </w:tc>
        <w:tc>
          <w:tcPr>
            <w:tcW w:w="424" w:type="dxa"/>
            <w:shd w:val="clear" w:color="auto" w:fill="4472C4"/>
          </w:tcPr>
          <w:p>
            <w:pPr>
              <w:spacing w:before="60" w:after="60" w:line="240" w:lineRule="auto"/>
              <w:jc w:val="center"/>
            </w:pPr>
            <w:r>
              <w:rPr>
                <w:rFonts w:ascii="Times New Roman" w:hAnsi="Times New Roman"/>
                <w:b/>
                <w:color w:val="FFFFFF"/>
                <w:sz w:val="18"/>
              </w:rPr>
              <w:t>S5</w:t>
            </w:r>
          </w:p>
        </w:tc>
        <w:tc>
          <w:tcPr>
            <w:tcW w:w="424" w:type="dxa"/>
            <w:shd w:val="clear" w:color="auto" w:fill="4472C4"/>
          </w:tcPr>
          <w:p>
            <w:pPr>
              <w:spacing w:before="60" w:after="60" w:line="240" w:lineRule="auto"/>
              <w:jc w:val="center"/>
            </w:pPr>
            <w:r>
              <w:rPr>
                <w:rFonts w:ascii="Times New Roman" w:hAnsi="Times New Roman"/>
                <w:b/>
                <w:color w:val="FFFFFF"/>
                <w:sz w:val="18"/>
              </w:rPr>
              <w:t>S6</w:t>
            </w:r>
          </w:p>
        </w:tc>
        <w:tc>
          <w:tcPr>
            <w:tcW w:w="424" w:type="dxa"/>
            <w:shd w:val="clear" w:color="auto" w:fill="4472C4"/>
          </w:tcPr>
          <w:p>
            <w:pPr>
              <w:spacing w:before="60" w:after="60" w:line="240" w:lineRule="auto"/>
              <w:jc w:val="center"/>
            </w:pPr>
            <w:r>
              <w:rPr>
                <w:rFonts w:ascii="Times New Roman" w:hAnsi="Times New Roman"/>
                <w:b/>
                <w:color w:val="FFFFFF"/>
                <w:sz w:val="18"/>
              </w:rPr>
              <w:t>S7</w:t>
            </w:r>
          </w:p>
        </w:tc>
        <w:tc>
          <w:tcPr>
            <w:tcW w:w="424" w:type="dxa"/>
            <w:shd w:val="clear" w:color="auto" w:fill="4472C4"/>
          </w:tcPr>
          <w:p>
            <w:pPr>
              <w:spacing w:before="60" w:after="60" w:line="240" w:lineRule="auto"/>
              <w:jc w:val="center"/>
            </w:pPr>
            <w:r>
              <w:rPr>
                <w:rFonts w:ascii="Times New Roman" w:hAnsi="Times New Roman"/>
                <w:b/>
                <w:color w:val="FFFFFF"/>
                <w:sz w:val="18"/>
              </w:rPr>
              <w:t>S8</w:t>
            </w:r>
          </w:p>
        </w:tc>
      </w:tr>
      <w:tr>
        <w:tc>
          <w:tcPr>
            <w:tcW w:w="4873" w:type="dxa"/>
            <w:shd w:val="clear" w:color="auto" w:fill="FFFFFF"/>
          </w:tcPr>
          <w:p>
            <w:pPr>
              <w:spacing w:before="60" w:after="60" w:line="240" w:lineRule="auto"/>
              <w:jc w:val="both"/>
            </w:pPr>
            <w:r>
              <w:rPr>
                <w:rFonts w:ascii="Times New Roman" w:hAnsi="Times New Roman"/>
                <w:b w:val="0"/>
                <w:color w:val="000000"/>
                <w:sz w:val="20"/>
              </w:rPr>
              <w:t>Diagnóstico del flujo documental y debilidades del Excel.</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r>
      <w:tr>
        <w:tc>
          <w:tcPr>
            <w:tcW w:w="4873" w:type="dxa"/>
            <w:shd w:val="clear" w:color="auto" w:fill="D9E1F2"/>
          </w:tcPr>
          <w:p>
            <w:pPr>
              <w:spacing w:before="60" w:after="60" w:line="240" w:lineRule="auto"/>
              <w:jc w:val="both"/>
            </w:pPr>
            <w:r>
              <w:rPr>
                <w:rFonts w:ascii="Times New Roman" w:hAnsi="Times New Roman"/>
                <w:b w:val="0"/>
                <w:color w:val="000000"/>
                <w:sz w:val="20"/>
              </w:rPr>
              <w:t>Diseño del modelo relacional y diccionario de datos.</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4873" w:type="dxa"/>
            <w:shd w:val="clear" w:color="auto" w:fill="FFFFFF"/>
          </w:tcPr>
          <w:p>
            <w:pPr>
              <w:spacing w:before="60" w:after="60" w:line="240" w:lineRule="auto"/>
              <w:jc w:val="both"/>
            </w:pPr>
            <w:r>
              <w:rPr>
                <w:rFonts w:ascii="Times New Roman" w:hAnsi="Times New Roman"/>
                <w:b w:val="0"/>
                <w:color w:val="000000"/>
                <w:sz w:val="20"/>
              </w:rPr>
              <w:t>Despliegue de la DB en SQLite y maquetado lógico.</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r>
      <w:tr>
        <w:tc>
          <w:tcPr>
            <w:tcW w:w="4873" w:type="dxa"/>
            <w:shd w:val="clear" w:color="auto" w:fill="D9E1F2"/>
          </w:tcPr>
          <w:p>
            <w:pPr>
              <w:spacing w:before="60" w:after="60" w:line="240" w:lineRule="auto"/>
              <w:jc w:val="both"/>
            </w:pPr>
            <w:r>
              <w:rPr>
                <w:rFonts w:ascii="Times New Roman" w:hAnsi="Times New Roman"/>
                <w:b w:val="0"/>
                <w:color w:val="000000"/>
                <w:sz w:val="20"/>
              </w:rPr>
              <w:t>Programación de interfaces gráficas mediante código HTML.</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4873" w:type="dxa"/>
            <w:shd w:val="clear" w:color="auto" w:fill="FFFFFF"/>
          </w:tcPr>
          <w:p>
            <w:pPr>
              <w:spacing w:before="60" w:after="60" w:line="240" w:lineRule="auto"/>
              <w:jc w:val="both"/>
            </w:pPr>
            <w:r>
              <w:rPr>
                <w:rFonts w:ascii="Times New Roman" w:hAnsi="Times New Roman"/>
                <w:b w:val="0"/>
                <w:color w:val="000000"/>
                <w:sz w:val="20"/>
              </w:rPr>
              <w:t>Empaquetado de la aplicación de escritorio usando Wails.</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r>
      <w:tr>
        <w:tc>
          <w:tcPr>
            <w:tcW w:w="4873" w:type="dxa"/>
            <w:shd w:val="clear" w:color="auto" w:fill="D9E1F2"/>
          </w:tcPr>
          <w:p>
            <w:pPr>
              <w:spacing w:before="60" w:after="60" w:line="240" w:lineRule="auto"/>
              <w:jc w:val="both"/>
            </w:pPr>
            <w:r>
              <w:rPr>
                <w:rFonts w:ascii="Times New Roman" w:hAnsi="Times New Roman"/>
                <w:b w:val="0"/>
                <w:color w:val="000000"/>
                <w:sz w:val="20"/>
              </w:rPr>
              <w:t>Integración con la base de datos y desarrollo de consultas.</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4873" w:type="dxa"/>
            <w:shd w:val="clear" w:color="auto" w:fill="FFFFFF"/>
          </w:tcPr>
          <w:p>
            <w:pPr>
              <w:spacing w:before="60" w:after="60" w:line="240" w:lineRule="auto"/>
              <w:jc w:val="both"/>
            </w:pPr>
            <w:r>
              <w:rPr>
                <w:rFonts w:ascii="Times New Roman" w:hAnsi="Times New Roman"/>
                <w:b w:val="0"/>
                <w:color w:val="000000"/>
                <w:sz w:val="20"/>
              </w:rPr>
              <w:t>Pruebas funcionales de trazabilidad y generación de reportes.</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r>
      <w:tr>
        <w:tc>
          <w:tcPr>
            <w:tcW w:w="4873" w:type="dxa"/>
            <w:shd w:val="clear" w:color="auto" w:fill="D9E1F2"/>
          </w:tcPr>
          <w:p>
            <w:pPr>
              <w:spacing w:before="60" w:after="60" w:line="240" w:lineRule="auto"/>
              <w:jc w:val="both"/>
            </w:pPr>
            <w:r>
              <w:rPr>
                <w:rFonts w:ascii="Times New Roman" w:hAnsi="Times New Roman"/>
                <w:b w:val="0"/>
                <w:color w:val="000000"/>
                <w:sz w:val="20"/>
              </w:rPr>
              <w:t>Consolidación técnica y redacción del informe final.</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2"/>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3"/>
          <w:pgSz w:w="12240" w:h="15840"/>
          <w:pgMar w:top="2835"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Sistemas de Información</w:t>
      </w:r>
      <w:bookmarkEnd w:id="bm_cap3_bases"/>
    </w:p>
    <w:p>
      <w:pPr>
        <w:spacing w:line="360" w:lineRule="auto" w:after="0" w:before="0"/>
        <w:ind w:firstLine="709"/>
        <w:jc w:val="both"/>
      </w:pPr>
      <w:r>
        <w:rPr>
          <w:rFonts w:ascii="Times New Roman" w:hAnsi="Times New Roman"/>
          <w:i w:val="0"/>
          <w:sz w:val="24"/>
        </w:rPr>
        <w:t>Un sistema de información constituye un conjunto organizado de recursos humanos, tecnológicos y procedimentales orientados a la captura, almacenamiento, procesamiento y distribución de datos con el propósito de apoyar la toma de decisiones dentro de una organización. Laudon y Laudon (2016) distinguen entre sistemas de procesamiento de transacciones, sistemas de soporte a la decisión y sistemas de información gerencial, siendo estos últimos los que transforman datos operativos en reportes consolidados de utilidad directiva.</w:t>
      </w:r>
    </w:p>
    <w:p>
      <w:pPr>
        <w:spacing w:line="360" w:lineRule="auto" w:after="0" w:before="0"/>
        <w:ind w:firstLine="709"/>
        <w:jc w:val="both"/>
      </w:pPr>
      <w:r>
        <w:rPr>
          <w:rFonts w:ascii="Times New Roman" w:hAnsi="Times New Roman"/>
          <w:i w:val="0"/>
          <w:sz w:val="24"/>
        </w:rPr>
        <w:t>En el contexto del presente proyecto, el sistema propuesto se enmarca en la categoría de sistema de información operacional con capacidad de reporte gerencial, dado que registra cada movimiento documental de forma transaccional y provee resúmenes inmediatos al nivel de presidencia. Según Kendall y Kendall (2011), el análisis y diseño de sistemas busca comprender sistemáticamente cómo interactúan los datos y los usuarios para proponer soluciones tecnológicas que mejoren el flujo de trabajo de una organización.</w:t>
      </w:r>
    </w:p>
    <w:p>
      <w:pPr>
        <w:spacing w:line="240" w:lineRule="auto" w:before="720" w:after="240"/>
        <w:ind w:left="709" w:right="709"/>
        <w:jc w:val="both"/>
      </w:pPr>
      <w:r>
        <w:rPr>
          <w:rFonts w:ascii="Times New Roman" w:hAnsi="Times New Roman"/>
          <w:sz w:val="24"/>
        </w:rPr>
        <w:t>Los sistemas de información gerencial proporcionan a los administradores informes sobre el desempeño actual de la organización. Esta información se utiliza para supervisar y controlar el negocio y predecir el desempeño futuro. Los sistemas de información gerencial resumen y reportan las operaciones básicas de la empresa usando datos suministrados por los sistemas de procesamiento de transacciones.</w:t>
      </w:r>
      <w:r>
        <w:rPr>
          <w:rFonts w:ascii="Times New Roman" w:hAnsi="Times New Roman"/>
          <w:sz w:val="24"/>
        </w:rPr>
        <w:t xml:space="preserve"> (Laudon y Laudon, 2016, p. 46)</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before="480" w:after="480" w:line="360" w:lineRule="auto"/>
        <w:jc w:val="left"/>
      </w:pPr>
      <w:r>
        <w:rPr>
          <w:rFonts w:ascii="Times New Roman" w:hAnsi="Times New Roman"/>
          <w:b/>
          <w:sz w:val="24"/>
        </w:rPr>
        <w:t>Gestión Documental</w:t>
      </w:r>
    </w:p>
    <w:p>
      <w:pPr>
        <w:spacing w:line="360" w:lineRule="auto" w:after="0" w:before="0"/>
        <w:ind w:firstLine="709"/>
        <w:jc w:val="both"/>
      </w:pPr>
      <w:r>
        <w:rPr>
          <w:rFonts w:ascii="Times New Roman" w:hAnsi="Times New Roman"/>
          <w:i w:val="0"/>
          <w:sz w:val="24"/>
        </w:rPr>
        <w:t>La gestión documental se define como el conjunto de normas, técnicas y prácticas que regulan el ciclo de vida de los documentos dentro de una organización, desde su creación o recepción hasta su disposición final. Cruz Mundet (2011) señala que una gestión documental eficaz garantiza la autenticidad, integridad, fiabilidad y disponibilidad de la información registrada, constituyendo un pilar fundamental para la transparencia administrativa y la continuidad operativa.</w:t>
      </w:r>
    </w:p>
    <w:p>
      <w:pPr>
        <w:spacing w:line="360" w:lineRule="auto" w:after="0" w:before="0"/>
        <w:ind w:firstLine="709"/>
        <w:jc w:val="both"/>
      </w:pPr>
      <w:r>
        <w:rPr>
          <w:rFonts w:ascii="Times New Roman" w:hAnsi="Times New Roman"/>
          <w:i w:val="0"/>
          <w:sz w:val="24"/>
        </w:rPr>
        <w:t>En el Departamento de Presidencia de Venangocupet, S.A., el flujo documental responde a un ciclo específico: recepción del expediente externo, revisión de forma, registro de ingreso, firma presidencial, registro de egreso y despacho al departamento destinatario. La automatización de este ciclo mediante un sistema digitalizado reduce la propensión al error humano y dota al departamento de un historial auditable de cada movimiento, en concordancia con los principios de gestión documental descritos por Cruz Mundet (2011).</w:t>
      </w:r>
    </w:p>
    <w:p>
      <w:pPr>
        <w:spacing w:before="480" w:after="480" w:line="360" w:lineRule="auto"/>
        <w:jc w:val="left"/>
      </w:pPr>
      <w:r>
        <w:rPr>
          <w:rFonts w:ascii="Times New Roman" w:hAnsi="Times New Roman"/>
          <w:b/>
          <w:sz w:val="24"/>
        </w:rPr>
        <w:t>Modelo Relacional de Bases de Datos</w:t>
      </w:r>
    </w:p>
    <w:p>
      <w:pPr>
        <w:spacing w:line="360" w:lineRule="auto" w:after="0" w:before="0"/>
        <w:ind w:firstLine="709"/>
        <w:jc w:val="both"/>
      </w:pPr>
      <w:r>
        <w:rPr>
          <w:rFonts w:ascii="Times New Roman" w:hAnsi="Times New Roman"/>
          <w:i w:val="0"/>
          <w:sz w:val="24"/>
        </w:rPr>
        <w:t>El modelo relacional, propuesto originalmente por Codd (1970), organiza la información en tablas bidimensionales denominadas relaciones, cuyos atributos representan las propiedades de las entidades y cuyas filas corresponden a instancias individuales de datos. La fortaleza de este modelo radica en la aplicación de reglas de normalización que eliminan la redundancia y preservan la integridad referencial entre tablas relacionadas mediante claves primarias y foráneas.</w:t>
      </w:r>
    </w:p>
    <w:p>
      <w:pPr>
        <w:spacing w:line="360" w:lineRule="auto" w:after="0" w:before="0"/>
        <w:ind w:firstLine="709"/>
        <w:jc w:val="both"/>
      </w:pPr>
      <w:r>
        <w:rPr>
          <w:rFonts w:ascii="Times New Roman" w:hAnsi="Times New Roman"/>
          <w:i w:val="0"/>
          <w:sz w:val="24"/>
        </w:rPr>
        <w:t>Date (2001) establece que un diseño relacional correctamente normalizado garantiza que cada dato se almacene una sola vez, reduciendo la posibilidad de inconsistencias derivadas de actualizaciones parciales. En el sistema propuesto, la relación entre procesos administrativos y documentos sigue una cardinalidad uno a muchos (1:N), permitiendo registrar múltiples expedientes asociados a un mismo proceso contractual o administrativo sin duplicar los datos maestros del proceso.</w:t>
      </w:r>
    </w:p>
    <w:p>
      <w:pPr>
        <w:spacing w:before="480" w:after="480" w:line="360" w:lineRule="auto"/>
        <w:jc w:val="left"/>
      </w:pPr>
      <w:r>
        <w:rPr>
          <w:rFonts w:ascii="Times New Roman" w:hAnsi="Times New Roman"/>
          <w:b/>
          <w:sz w:val="24"/>
        </w:rPr>
        <w:t>SQLite como Sistema Gestor de Base de Datos</w:t>
      </w:r>
    </w:p>
    <w:p>
      <w:pPr>
        <w:spacing w:line="360" w:lineRule="auto" w:after="0" w:before="0"/>
        <w:ind w:firstLine="709"/>
        <w:jc w:val="both"/>
      </w:pPr>
      <w:r>
        <w:rPr>
          <w:rFonts w:ascii="Times New Roman" w:hAnsi="Times New Roman"/>
          <w:i w:val="0"/>
          <w:sz w:val="24"/>
        </w:rPr>
        <w:t>SQLite es un motor de base de datos relacional de código abierto, autocontenido y sin servidor, cuya arquitectura embebida lo diferencia de sistemas cliente-servidor convencionales como MySQL o PostgreSQL. Su funcionamiento se basa en un único archivo portable que aloja el esquema completo de la base de datos, eliminando la necesidad de procesos de servidor independientes o configuraciones de red. Esta característica lo convierte en la opción técnica idónea para entornos corporativos con restricciones de instalación de software.</w:t>
      </w:r>
    </w:p>
    <w:p>
      <w:pPr>
        <w:spacing w:line="360" w:lineRule="auto" w:after="0" w:before="0"/>
        <w:ind w:firstLine="709"/>
        <w:jc w:val="both"/>
      </w:pPr>
      <w:r>
        <w:rPr>
          <w:rFonts w:ascii="Times New Roman" w:hAnsi="Times New Roman"/>
          <w:i w:val="0"/>
          <w:sz w:val="24"/>
        </w:rPr>
        <w:t>Pressman (2010) señala que la selección de herramientas tecnológicas debe estar guiada por los atributos del entorno de despliegue y no exclusivamente por las capacidades abstractas del instrumento. En el caso particular del Departamento de Presidencia de Venangocupet, S.A., las restricciones de permisos administrativos sobre los equipos de la organización hacen de SQLite la alternativa técnicamente viable para implementar persistencia de datos sin requerir intervención del departamento de tecnología de la empresa.</w:t>
      </w:r>
    </w:p>
    <w:p>
      <w:pPr>
        <w:spacing w:before="480" w:after="480" w:line="360" w:lineRule="auto"/>
        <w:jc w:val="left"/>
      </w:pPr>
      <w:r>
        <w:rPr>
          <w:rFonts w:ascii="Times New Roman" w:hAnsi="Times New Roman"/>
          <w:b/>
          <w:sz w:val="24"/>
        </w:rPr>
        <w:t>Trazabilidad Documental</w:t>
      </w:r>
    </w:p>
    <w:p>
      <w:pPr>
        <w:spacing w:line="360" w:lineRule="auto" w:after="0" w:before="0"/>
        <w:ind w:firstLine="709"/>
        <w:jc w:val="both"/>
      </w:pPr>
      <w:r>
        <w:rPr>
          <w:rFonts w:ascii="Times New Roman" w:hAnsi="Times New Roman"/>
          <w:i w:val="0"/>
          <w:sz w:val="24"/>
        </w:rPr>
        <w:t>La trazabilidad documental se entiende como la capacidad de reconstruir el historial completo de un documento a lo largo de su ciclo de vida, identificando en cada etapa el responsable, la fecha, la acción ejecutada y el estado resultante. Gómez (2019) señala que la trazabilidad constituye el mecanismo central de auditoría en los sistemas de gestión documental, dado que permite verificar la integridad del proceso y detectar cuellos de botella o irregularidades en el flujo.</w:t>
      </w:r>
    </w:p>
    <w:p>
      <w:pPr>
        <w:spacing w:line="360" w:lineRule="auto" w:after="0" w:before="0"/>
        <w:ind w:firstLine="709"/>
        <w:jc w:val="both"/>
      </w:pPr>
      <w:r>
        <w:rPr>
          <w:rFonts w:ascii="Times New Roman" w:hAnsi="Times New Roman"/>
          <w:i w:val="0"/>
          <w:sz w:val="24"/>
        </w:rPr>
        <w:t>En el ámbito de la alta dirección, la trazabilidad cobra especial relevancia porque los expedientes que transitan por la Presidencia frecuentemente están vinculados a procesos contractuales y decisiones gerenciales de impacto organizacional. El sistema propuesto registra automáticamente cada movimiento de ingreso y egreso del expediente, almacenando la fecha, el estatus y el departamento de origen o destino, lo que permite generar reportes de trazabilidad de forma inmediata ante cualquier requerimiento directivo.</w:t>
      </w:r>
    </w:p>
    <w:p>
      <w:pPr>
        <w:spacing w:line="240" w:lineRule="auto" w:before="720" w:after="240"/>
        <w:ind w:left="709" w:right="709"/>
        <w:jc w:val="both"/>
      </w:pPr>
      <w:r>
        <w:rPr>
          <w:rFonts w:ascii="Times New Roman" w:hAnsi="Times New Roman"/>
          <w:sz w:val="24"/>
        </w:rPr>
        <w:t>Un sistema de información eficaz proporciona a los administradores de la organización datos precisos y oportunos, facilitando la auditoría de cada transacción operativa y mejorando sustancialmente la capacidad de respuesta ante requerimientos gerenciales de alto nivel. La ausencia de este tipo de herramientas obliga al personal a invertir tiempo considerable en la búsqueda y consolidación manual de información que debería estar disponible de forma inmediata.</w:t>
      </w:r>
      <w:r>
        <w:rPr>
          <w:rFonts w:ascii="Times New Roman" w:hAnsi="Times New Roman"/>
          <w:sz w:val="24"/>
        </w:rPr>
        <w:t xml:space="preserve"> (Gómez, 2019, p. 45)</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before="480" w:after="480" w:line="360" w:lineRule="auto"/>
        <w:jc w:val="left"/>
      </w:pPr>
      <w:r>
        <w:rPr>
          <w:rFonts w:ascii="Times New Roman" w:hAnsi="Times New Roman"/>
          <w:b/>
          <w:sz w:val="24"/>
        </w:rPr>
        <w:t>Automatización de Procesos Administrativos</w:t>
      </w:r>
    </w:p>
    <w:p>
      <w:pPr>
        <w:spacing w:line="360" w:lineRule="auto" w:after="0" w:before="0"/>
        <w:ind w:firstLine="709"/>
        <w:jc w:val="both"/>
      </w:pPr>
      <w:r>
        <w:rPr>
          <w:rFonts w:ascii="Times New Roman" w:hAnsi="Times New Roman"/>
          <w:i w:val="0"/>
          <w:sz w:val="24"/>
        </w:rPr>
        <w:t>La automatización de procesos administrativos consiste en la sustitución de tareas manuales repetitivas por flujos de trabajo controlados por sistemas informáticos, con el objetivo de reducir los tiempos de ejecución, minimizar el error humano y liberar al personal para actividades de mayor valor analítico. Laudon y Laudon (2016) plantean que la automatización de procesos de negocio genera mejoras medibles en la productividad organizacional al estandarizar los procedimientos y centralizar el control de la información.</w:t>
      </w:r>
    </w:p>
    <w:p>
      <w:pPr>
        <w:spacing w:line="360" w:lineRule="auto" w:after="0" w:before="0"/>
        <w:ind w:firstLine="709"/>
        <w:jc w:val="both"/>
      </w:pPr>
      <w:r>
        <w:rPr>
          <w:rFonts w:ascii="Times New Roman" w:hAnsi="Times New Roman"/>
          <w:i w:val="0"/>
          <w:sz w:val="24"/>
        </w:rPr>
        <w:t>En el Departamento de Presidencia de Venangocupet, S.A., la automatización se justifica por la naturaleza del proceso actual: el personal destina un porcentaje significativo de su tiempo operativo al copiado y pegado de datos entre documentos y hojas de cálculo, así como a la redacción manual de resúmenes solicitados por la dirección. La implementación del sistema automatizado propuesto traslada estas tareas al software, permitiendo que el personal se concentre en las funciones de revisión y coordinación propias del departamento.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económica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no se limita a diagnosticar un problema, sino que avanza hasta proponer y en muchos casos desarrollar la solución, demostrando su aplicabilidad en el contexto real. El presente trabajo se enmarca en esta modalidad al partir de un diagnóstico situacional del flujo documental en Presidencia, proponer una arquitectura tecnológica específica y materializar un prototipo funcional del sistema como evidencia de la viabilidad de la propuesta.</w:t>
      </w:r>
    </w:p>
    <w:p>
      <w:pPr>
        <w:sectPr>
          <w:footerReference w:type="default" r:id="rId34"/>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5"/>
          <w:pgSz w:w="12240" w:h="15840"/>
          <w:pgMar w:top="2835"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ocho (8) semanas de práctica profesional, se ejecutaron fases sucesivas de análisis, diseño y desarrollo de software, integrando la operativa departamental con la investigación técnica: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al Departamento de Presidencia, reconocimiento del flujo procedimental de recepción, revisión y despacho de expedientes, y familiarización con el personal administrativo y las herramientas de registro en uso.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Inicio del diagnóstico situacional mediante observación directa del proceso documental, identificación de las debilidades del sistema de registro manual y formulación preliminar de la situación problemática.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las labores de recepción y registro de expedientes del departamento, aplicando los procedimientos establecidos bajo supervisión de la tutora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diagnóstico situacional en sus tres niveles (macro, meso y micro) y definición de los objetivos general y específicos del proyecto factible.</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las tareas de revisión ortográfica y de formato de correspondencia presidencial, y apoyo en el registro de salida de expedientes firmados.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modelo relacional de la base de datos, aplicación de reglas de normalización y elaboración del diccionario de datos con los campos requeridos por el departamento.</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 organización y archivo físico de expedientes del período, apoyando al personal en la gestión del volumen documental concurrente.</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Despliegue del esquema de la base de datos en el motor SQLite y verificación del correcto almacenamiento de registros de prueba según el modelo diseñado.</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elaboración de resúmenes de estatus de expedientes solicitados por la directiva, aplicando los registros existentes en las hojas de cálculo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y estructuración de la interfaz gráfica de usuario mediante código HTML, definiendo los módulos de ingreso, consulta y reporte de movimientos documentales.</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canalización de correspondencia presidencial, manteniendo el flujo operativo regular del departamento durante el desarrollo del proyecto.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Empaquetado del entorno visual web como aplicación de escritorio autónoma mediante el framework Wails e integración con la base de datos SQLite local.</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generación manual de reportes de expedientes para la alta dirección, documentando simultáneamente los requerimientos de reporte que guiarán la validación del sistema.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Ejecución de pruebas de validación funcional del sistema, depuración de errores y verificación del correcto funcionamiento de los módulos de trazabilidad y generación de reportes.</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y presentación del prototipo funcional ante la tutora industrial para su evaluación y retroalimentación.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Elaboración de los manuales técnicos del sistema, estructuración final del código fuente y consolidación del informe académico de pasantías.</w:t>
      </w:r>
    </w:p>
    <w:p>
      <w:pPr>
        <w:sectPr>
          <w:footerReference w:type="default" r:id="rId36"/>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37"/>
          <w:pgSz w:w="12240" w:h="15840"/>
          <w:pgMar w:top="2835"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la dependencia del registro manual en hojas de cálculo genera cuellos de botella en escenarios de alta concurrencia documental, propiciando la duplicación de datos y la omisión de movimientos críticos que comprometen la trazabilidad del flujo en Presidencia.</w:t>
      </w:r>
    </w:p>
    <w:p>
      <w:pPr>
        <w:spacing w:line="360" w:lineRule="auto"/>
        <w:ind w:firstLine="709"/>
        <w:jc w:val="both"/>
      </w:pPr>
      <w:r>
        <w:rPr>
          <w:rFonts w:ascii="Times New Roman" w:hAnsi="Times New Roman"/>
          <w:sz w:val="24"/>
        </w:rPr>
        <w:t xml:space="preserve">2. </w:t>
      </w:r>
      <w:r>
        <w:rPr>
          <w:rFonts w:ascii="Times New Roman" w:hAnsi="Times New Roman"/>
          <w:sz w:val="24"/>
        </w:rPr>
        <w:t>Se determinó que los requerimientos funcionales del sistema giran en torno a tres módulos esenciales: registro de ingreso y egreso de expedientes, consulta de historial por proceso administrativo y generación automática de reportes gerenciales, todos sustentados en una estructura relacional 1:N entre procesos y documentos.</w:t>
      </w:r>
    </w:p>
    <w:p>
      <w:pPr>
        <w:spacing w:line="360" w:lineRule="auto"/>
        <w:ind w:firstLine="709"/>
        <w:jc w:val="both"/>
      </w:pPr>
      <w:r>
        <w:rPr>
          <w:rFonts w:ascii="Times New Roman" w:hAnsi="Times New Roman"/>
          <w:sz w:val="24"/>
        </w:rPr>
        <w:t xml:space="preserve">3. </w:t>
      </w:r>
      <w:r>
        <w:rPr>
          <w:rFonts w:ascii="Times New Roman" w:hAnsi="Times New Roman"/>
          <w:sz w:val="24"/>
        </w:rPr>
        <w:t>Se diseñó una arquitectura lógica basada en el modelo relacional normalizado con SQLite como motor de persistencia y una interfaz gráfica desarrollada en código HTML, logrando una solución técnicamente coherente con las restricciones operativas del entorno corporativo.</w:t>
      </w:r>
    </w:p>
    <w:p>
      <w:pPr>
        <w:spacing w:line="360" w:lineRule="auto"/>
        <w:ind w:firstLine="709"/>
        <w:jc w:val="both"/>
      </w:pPr>
      <w:r>
        <w:rPr>
          <w:rFonts w:ascii="Times New Roman" w:hAnsi="Times New Roman"/>
          <w:sz w:val="24"/>
        </w:rPr>
        <w:t xml:space="preserve">4. </w:t>
      </w:r>
      <w:r>
        <w:rPr>
          <w:rFonts w:ascii="Times New Roman" w:hAnsi="Times New Roman"/>
          <w:sz w:val="24"/>
        </w:rPr>
        <w:t>Se desarrolló un prototipo funcional empaquetado con el framework Wails que demostró la viabilidad técnica de la propuesta, validando los flujos de registro, consulta y reporte sobre datos reales del Departamento de Presidencia.</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Ejecutar la migración progresiva de los registros históricos contenidos en las hojas de cálculo hacia la base de datos del nuevo sistema, preservando la trazabilidad de los expedientes anteriores al período de implementación.</w:t>
      </w:r>
    </w:p>
    <w:p>
      <w:pPr>
        <w:spacing w:line="360" w:lineRule="auto"/>
        <w:ind w:firstLine="709"/>
        <w:jc w:val="both"/>
      </w:pPr>
      <w:r>
        <w:rPr>
          <w:rFonts w:ascii="Times New Roman" w:hAnsi="Times New Roman"/>
          <w:sz w:val="24"/>
        </w:rPr>
        <w:t xml:space="preserve">2. </w:t>
      </w:r>
      <w:r>
        <w:rPr>
          <w:rFonts w:ascii="Times New Roman" w:hAnsi="Times New Roman"/>
          <w:sz w:val="24"/>
        </w:rPr>
        <w:t>Capacitar al personal administrativo del Departamento de Presidencia en el uso de las interfaces de registro, consulta y generación de reportes del sistema, garantizando la correcta apropiación tecnológica de la herramienta.</w:t>
      </w:r>
    </w:p>
    <w:p>
      <w:pPr>
        <w:spacing w:line="360" w:lineRule="auto"/>
        <w:ind w:firstLine="709"/>
        <w:jc w:val="both"/>
      </w:pPr>
      <w:r>
        <w:rPr>
          <w:rFonts w:ascii="Times New Roman" w:hAnsi="Times New Roman"/>
          <w:sz w:val="24"/>
        </w:rPr>
        <w:t xml:space="preserve">3. </w:t>
      </w:r>
      <w:r>
        <w:rPr>
          <w:rFonts w:ascii="Times New Roman" w:hAnsi="Times New Roman"/>
          <w:sz w:val="24"/>
        </w:rPr>
        <w:t>Establecer rutinas periódicas de respaldo del archivo de base de datos (.sqlite) en una unidad de almacenamiento alternativa, con el fin de salvaguardar la integridad del historial documental ante eventuales fallas del equipo.</w:t>
      </w:r>
    </w:p>
    <w:p>
      <w:pPr>
        <w:spacing w:line="360" w:lineRule="auto"/>
        <w:ind w:firstLine="709"/>
        <w:jc w:val="both"/>
      </w:pPr>
      <w:r>
        <w:rPr>
          <w:rFonts w:ascii="Times New Roman" w:hAnsi="Times New Roman"/>
          <w:sz w:val="24"/>
        </w:rPr>
        <w:t xml:space="preserve">4. </w:t>
      </w:r>
      <w:r>
        <w:rPr>
          <w:rFonts w:ascii="Times New Roman" w:hAnsi="Times New Roman"/>
          <w:sz w:val="24"/>
        </w:rPr>
        <w:t>Extender el alcance del sistema en fases posteriores para incorporar notificaciones automáticas a los departamentos destinatarios una vez despachado el expediente firmado, optimizando la comunicación interdepartamental.</w:t>
      </w:r>
    </w:p>
    <w:p>
      <w:pPr>
        <w:sectPr>
          <w:footerReference w:type="default" r:id="rId38"/>
          <w:type w:val="continuous"/>
          <w:pgSz w:w="12240" w:h="15840"/>
          <w:pgMar w:top="1701" w:right="1701" w:bottom="1701" w:left="2268" w:header="720" w:footer="720" w:gutter="0"/>
          <w:cols w:space="720"/>
          <w:titlePg/>
          <w:docGrid w:linePitch="360"/>
        </w:sectPr>
      </w:pPr>
    </w:p>
    <w:p>
      <w:bookmarkStart w:id="bm_referencias" w:name="bm_referencias"/>
      <w:pPr>
        <w:spacing w:after="480"/>
        <w:jc w:val="center"/>
      </w:pPr>
      <w:r>
        <w:rPr>
          <w:rFonts w:ascii="Times New Roman" w:hAnsi="Times New Roman"/>
          <w:b/>
          <w:sz w:val="24"/>
        </w:rPr>
        <w:t>REFERENCIAS</w:t>
      </w:r>
      <w:bookmarkEnd w:id="bm_referencias"/>
    </w:p>
    <w:p>
      <w:pPr>
        <w:sectPr>
          <w:footerReference w:type="default" r:id="rId39"/>
          <w:pgSz w:w="12240" w:h="15840"/>
          <w:pgMar w:top="2835"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Codd, E. F. (1970). A relational model of data for large shared data banks. Communications of the ACM, 13(6), 377-387.</w:t>
      </w:r>
    </w:p>
    <w:p>
      <w:pPr>
        <w:spacing w:line="240" w:lineRule="auto" w:after="480" w:before="0"/>
        <w:ind w:left="425" w:hanging="425"/>
        <w:jc w:val="both"/>
      </w:pPr>
      <w:r>
        <w:rPr>
          <w:rFonts w:ascii="Times New Roman" w:hAnsi="Times New Roman"/>
          <w:sz w:val="24"/>
        </w:rPr>
        <w:t>Cruz Mundet, J. R. (2011). Administración de documentos y archivos: Textos fundamentales. Coordinadora de Asociaciones de Archiveros, España.</w:t>
      </w:r>
    </w:p>
    <w:p>
      <w:pPr>
        <w:spacing w:line="240" w:lineRule="auto" w:after="480" w:before="0"/>
        <w:ind w:left="425" w:hanging="425"/>
        <w:jc w:val="both"/>
      </w:pPr>
      <w:r>
        <w:rPr>
          <w:rFonts w:ascii="Times New Roman" w:hAnsi="Times New Roman"/>
          <w:sz w:val="24"/>
        </w:rPr>
        <w:t>Date, C. J. (2001). Introducción a los sistemas de bases de datos (7ma ed.). Pearson Educación, México.</w:t>
      </w:r>
    </w:p>
    <w:p>
      <w:pPr>
        <w:spacing w:line="240" w:lineRule="auto" w:after="480" w:before="0"/>
        <w:ind w:left="425" w:hanging="425"/>
        <w:jc w:val="both"/>
      </w:pPr>
      <w:r>
        <w:rPr>
          <w:rFonts w:ascii="Times New Roman" w:hAnsi="Times New Roman"/>
          <w:sz w:val="24"/>
        </w:rPr>
        <w:t>Gómez, R. (2019). Gestión Documental y Sistemas. Editorial Trillas, México.</w:t>
      </w:r>
    </w:p>
    <w:p>
      <w:pPr>
        <w:spacing w:line="240" w:lineRule="auto" w:after="480" w:before="0"/>
        <w:ind w:left="425" w:hanging="425"/>
        <w:jc w:val="both"/>
      </w:pPr>
      <w:r>
        <w:rPr>
          <w:rFonts w:ascii="Times New Roman" w:hAnsi="Times New Roman"/>
          <w:sz w:val="24"/>
        </w:rPr>
        <w:t>Kendall, K., y Kendall, J. (2011). Análisis y diseño de sistemas (8va ed.). Pearson Educación, México.</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Pressman, R. (2010). Ingeniería de Software: Un enfoque práctico (7ma ed.). McGraw-Hill,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40"/>
          <w:type w:val="continuous"/>
          <w:pgSz w:w="12240" w:h="15840"/>
          <w:pgMar w:top="1701" w:right="1701" w:bottom="1701" w:left="2268" w:header="720" w:footer="720" w:gutter="0"/>
          <w:cols w:space="720"/>
          <w:titlePg/>
          <w:docGrid w:linePitch="360"/>
        </w:sectPr>
      </w:pPr>
    </w:p>
    <w:p>
      <w:bookmarkStart w:id="bm_anexos" w:name="bm_anexos"/>
      <w:pPr>
        <w:spacing w:before="3600"/>
        <w:jc w:val="center"/>
      </w:pPr>
      <w:r>
        <w:rPr>
          <w:rFonts w:ascii="Times New Roman" w:hAnsi="Times New Roman"/>
          <w:b/>
          <w:sz w:val="32"/>
        </w:rPr>
        <w:t>ANEXOS</w:t>
      </w:r>
      <w:bookmarkEnd w:id="bm_anexos"/>
    </w:p>
    <w:p>
      <w:pPr>
        <w:sectPr>
          <w:footerReference w:type="default" r:id="rId41"/>
          <w:pgSz w:w="12240" w:h="15840"/>
          <w:pgMar w:top="2835"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[Diagrama Entidad-Relación de la Base de Datos]</w:t>
      </w:r>
    </w:p>
    <w:p>
      <w:pPr>
        <w:jc w:val="center"/>
      </w:pPr>
      <w:r>
        <w:rPr>
          <w:rFonts w:ascii="Times New Roman" w:hAnsi="Times New Roman"/>
          <w:i/>
          <w:sz w:val="20"/>
        </w:rPr>
        <w:t>(Contenido elaborado por el estudiante)</w:t>
      </w:r>
    </w:p>
    <w:p>
      <w:pPr>
        <w:sectPr>
          <w:footerReference w:type="default" r:id="rId42"/>
          <w:pgSz w:w="12240" w:h="15840"/>
          <w:pgMar w:top="2835"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[Capturas de la Interfaz del Sistema (Wails/HTML)]</w:t>
      </w:r>
    </w:p>
    <w:p>
      <w:pPr>
        <w:jc w:val="center"/>
      </w:pPr>
      <w:r>
        <w:rPr>
          <w:rFonts w:ascii="Times New Roman" w:hAnsi="Times New Roman"/>
          <w:i/>
          <w:sz w:val="20"/>
        </w:rPr>
        <w:t>(Contenido elaborado por el estudiante)</w:t>
      </w:r>
    </w:p>
    <w:p>
      <w:pPr>
        <w:sectPr>
          <w:footerReference w:type="default" r:id="rId43"/>
          <w:pgSz w:w="12240" w:h="15840"/>
          <w:pgMar w:top="2835"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[Memoria Fotográfica del Área de Presidencia]</w:t>
      </w:r>
    </w:p>
    <w:p>
      <w:pPr>
        <w:jc w:val="center"/>
      </w:pPr>
      <w:r>
        <w:rPr>
          <w:rFonts w:ascii="Times New Roman" w:hAnsi="Times New Roman"/>
          <w:i/>
          <w:sz w:val="20"/>
        </w:rPr>
        <w:t>(Contenido elaborado por el estudiante)</w:t>
      </w:r>
    </w:p>
    <w:sectPr w:rsidR="00FC693F" w:rsidRPr="0006063C" w:rsidSect="00034616">
      <w:footerReference w:type="default" r:id="rId44"/>
      <w:pgSz w:w="12240" w:h="15840"/>
      <w:pgMar w:top="2835"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footer" Target="footer4.xml"/><Relationship Id="rId15" Type="http://schemas.openxmlformats.org/officeDocument/2006/relationships/footer" Target="footer5.xml"/><Relationship Id="rId16" Type="http://schemas.openxmlformats.org/officeDocument/2006/relationships/footer" Target="footer6.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footer" Target="footer10.xml"/><Relationship Id="rId21" Type="http://schemas.openxmlformats.org/officeDocument/2006/relationships/footer" Target="footer11.xml"/><Relationship Id="rId22" Type="http://schemas.openxmlformats.org/officeDocument/2006/relationships/footer" Target="footer12.xml"/><Relationship Id="rId23" Type="http://schemas.openxmlformats.org/officeDocument/2006/relationships/footer" Target="footer13.xml"/><Relationship Id="rId24" Type="http://schemas.openxmlformats.org/officeDocument/2006/relationships/footer" Target="footer14.xml"/><Relationship Id="rId25" Type="http://schemas.openxmlformats.org/officeDocument/2006/relationships/footer" Target="footer15.xml"/><Relationship Id="rId26" Type="http://schemas.openxmlformats.org/officeDocument/2006/relationships/footer" Target="footer16.xml"/><Relationship Id="rId27" Type="http://schemas.openxmlformats.org/officeDocument/2006/relationships/footer" Target="footer17.xml"/><Relationship Id="rId28" Type="http://schemas.openxmlformats.org/officeDocument/2006/relationships/footer" Target="footer18.xml"/><Relationship Id="rId29" Type="http://schemas.openxmlformats.org/officeDocument/2006/relationships/footer" Target="footer19.xml"/><Relationship Id="rId30" Type="http://schemas.openxmlformats.org/officeDocument/2006/relationships/footer" Target="footer20.xml"/><Relationship Id="rId31" Type="http://schemas.openxmlformats.org/officeDocument/2006/relationships/footer" Target="footer21.xml"/><Relationship Id="rId32" Type="http://schemas.openxmlformats.org/officeDocument/2006/relationships/footer" Target="footer22.xml"/><Relationship Id="rId33" Type="http://schemas.openxmlformats.org/officeDocument/2006/relationships/footer" Target="footer23.xml"/><Relationship Id="rId34" Type="http://schemas.openxmlformats.org/officeDocument/2006/relationships/footer" Target="footer24.xml"/><Relationship Id="rId35" Type="http://schemas.openxmlformats.org/officeDocument/2006/relationships/footer" Target="footer25.xml"/><Relationship Id="rId36" Type="http://schemas.openxmlformats.org/officeDocument/2006/relationships/footer" Target="footer26.xml"/><Relationship Id="rId37" Type="http://schemas.openxmlformats.org/officeDocument/2006/relationships/footer" Target="footer27.xml"/><Relationship Id="rId38" Type="http://schemas.openxmlformats.org/officeDocument/2006/relationships/footer" Target="footer28.xml"/><Relationship Id="rId39" Type="http://schemas.openxmlformats.org/officeDocument/2006/relationships/footer" Target="footer29.xml"/><Relationship Id="rId40" Type="http://schemas.openxmlformats.org/officeDocument/2006/relationships/footer" Target="footer30.xml"/><Relationship Id="rId41" Type="http://schemas.openxmlformats.org/officeDocument/2006/relationships/footer" Target="footer31.xml"/><Relationship Id="rId42" Type="http://schemas.openxmlformats.org/officeDocument/2006/relationships/footer" Target="footer32.xml"/><Relationship Id="rId43" Type="http://schemas.openxmlformats.org/officeDocument/2006/relationships/footer" Target="footer33.xml"/><Relationship Id="rId44" Type="http://schemas.openxmlformats.org/officeDocument/2006/relationships/footer" Target="footer3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