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y revisar el informe final de pasantías bajo las normas IUTECP para su presentación y firma de cierre.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Unir los capítulos I, II y III, junto con las conclusiones, recomendaciones y anexos en el formato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Formateo bajo normas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Adecuar el espaciado, márgenes, tipo de letra e índices de acuerdo a la normativa de transcripción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plantilla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ortografía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 lectura final del texto para corregir la sintaxis y asegurar la coherencia técnica del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corrector ortográfico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los resultados y formatos propuestos a la Supervisora de Administración y al Tutor Industrial.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en PDF, laptop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y aval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Obtener las firmas del tutor industrial y el sello de la empresa en el informe de pasantías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impreso, bolígrafos, sello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impreso/digitalizado con firmas de aprobación y carta de culminación de actividades.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Amaal culminó con éxito sus actividades de pasantía. El informe presentado cumple con los estándares requeridos y aporta soluciones aplicables a IDETEL.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