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4"/>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5"/>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18"/>
          <w:pgSz w:w="12240" w:h="15840"/>
          <w:pgMar w:top="1701" w:right="1701" w:bottom="1701" w:left="2268" w:header="720" w:footer="720" w:gutter="0"/>
          <w:cols w:space="720"/>
          <w:titlePg/>
          <w:docGrid w:linePitch="360"/>
        </w:sectPr>
      </w:pPr>
    </w:p>
    <w:p>
      <w:pPr>
        <w:sectPr>
          <w:footerReference w:type="default" r:id="rId19"/>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3"/>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4"/>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5"/>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28"/>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Pr>
      <w:tblGrid>
        <w:gridCol w:w="1654"/>
        <w:gridCol w:w="1654"/>
        <w:gridCol w:w="1654"/>
        <w:gridCol w:w="1654"/>
        <w:gridCol w:w="1654"/>
      </w:tblGrid>
      <w:tr>
        <w:tc>
          <w:tcPr>
            <w:tcW w:type="dxa" w:w="1654"/>
            <w:shd w:fill="D9E2F3"/>
          </w:tcPr>
          <w:p>
            <w:pPr>
              <w:jc w:val="center"/>
            </w:pPr>
            <w:r/>
            <w:r>
              <w:rPr>
                <w:rFonts w:ascii="Times New Roman" w:hAnsi="Times New Roman"/>
                <w:b/>
                <w:sz w:val="16"/>
              </w:rPr>
              <w:t>Departamento / Área</w:t>
            </w:r>
          </w:p>
        </w:tc>
        <w:tc>
          <w:tcPr>
            <w:tcW w:type="dxa" w:w="1654"/>
            <w:shd w:fill="D9E2F3"/>
          </w:tcPr>
          <w:p>
            <w:pPr>
              <w:jc w:val="center"/>
            </w:pPr>
            <w:r/>
            <w:r>
              <w:rPr>
                <w:rFonts w:ascii="Times New Roman" w:hAnsi="Times New Roman"/>
                <w:b/>
                <w:sz w:val="16"/>
              </w:rPr>
              <w:t>Cargo</w:t>
            </w:r>
          </w:p>
        </w:tc>
        <w:tc>
          <w:tcPr>
            <w:tcW w:type="dxa" w:w="1654"/>
            <w:shd w:fill="D9E2F3"/>
          </w:tcPr>
          <w:p>
            <w:pPr>
              <w:jc w:val="center"/>
            </w:pPr>
            <w:r/>
            <w:r>
              <w:rPr>
                <w:rFonts w:ascii="Times New Roman" w:hAnsi="Times New Roman"/>
                <w:b/>
                <w:sz w:val="16"/>
              </w:rPr>
              <w:t>Femenino</w:t>
            </w:r>
          </w:p>
        </w:tc>
        <w:tc>
          <w:tcPr>
            <w:tcW w:type="dxa" w:w="1654"/>
            <w:shd w:fill="D9E2F3"/>
          </w:tcPr>
          <w:p>
            <w:pPr>
              <w:jc w:val="center"/>
            </w:pPr>
            <w:r/>
            <w:r>
              <w:rPr>
                <w:rFonts w:ascii="Times New Roman" w:hAnsi="Times New Roman"/>
                <w:b/>
                <w:sz w:val="16"/>
              </w:rPr>
              <w:t>Masculino</w:t>
            </w:r>
          </w:p>
        </w:tc>
        <w:tc>
          <w:tcPr>
            <w:tcW w:type="dxa" w:w="1654"/>
            <w:shd w:fill="D9E2F3"/>
          </w:tcPr>
          <w:p>
            <w:pPr>
              <w:jc w:val="center"/>
            </w:pPr>
            <w:r/>
            <w:r>
              <w:rPr>
                <w:rFonts w:ascii="Times New Roman" w:hAnsi="Times New Roman"/>
                <w:b/>
                <w:sz w:val="16"/>
              </w:rPr>
              <w:t>Total</w:t>
            </w:r>
          </w:p>
        </w:tc>
      </w:tr>
      <w:tr>
        <w:tc>
          <w:tcPr>
            <w:tcW w:type="dxa" w:w="1654"/>
          </w:tcPr>
          <w:p>
            <w:pPr>
              <w:jc w:val="left"/>
            </w:pPr>
            <w:r/>
            <w:r>
              <w:rPr>
                <w:rFonts w:ascii="Times New Roman" w:hAnsi="Times New Roman"/>
                <w:sz w:val="16"/>
              </w:rPr>
              <w:t>Alta Dirección</w:t>
            </w:r>
          </w:p>
        </w:tc>
        <w:tc>
          <w:tcPr>
            <w:tcW w:type="dxa" w:w="1654"/>
          </w:tcPr>
          <w:p>
            <w:pPr>
              <w:jc w:val="left"/>
            </w:pPr>
            <w:r/>
            <w:r>
              <w:rPr>
                <w:rFonts w:ascii="Times New Roman" w:hAnsi="Times New Roman"/>
                <w:sz w:val="16"/>
              </w:rPr>
              <w:t>Gerente General</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Dirección Operativa</w:t>
            </w:r>
          </w:p>
        </w:tc>
        <w:tc>
          <w:tcPr>
            <w:tcW w:type="dxa" w:w="1654"/>
          </w:tcPr>
          <w:p>
            <w:pPr>
              <w:jc w:val="left"/>
            </w:pPr>
            <w:r/>
            <w:r>
              <w:rPr>
                <w:rFonts w:ascii="Times New Roman" w:hAnsi="Times New Roman"/>
                <w:sz w:val="16"/>
              </w:rPr>
              <w:t>Gerente de Operaciones</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Control y Avance</w:t>
            </w:r>
          </w:p>
        </w:tc>
        <w:tc>
          <w:tcPr>
            <w:tcW w:type="dxa" w:w="1654"/>
          </w:tcPr>
          <w:p>
            <w:pPr>
              <w:jc w:val="left"/>
            </w:pPr>
            <w:r/>
            <w:r>
              <w:rPr>
                <w:rFonts w:ascii="Times New Roman" w:hAnsi="Times New Roman"/>
                <w:sz w:val="16"/>
              </w:rPr>
              <w:t>Gerente / Operaciones Morichal</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Administración (Área de Pasantía)</w:t>
            </w:r>
          </w:p>
        </w:tc>
        <w:tc>
          <w:tcPr>
            <w:tcW w:type="dxa" w:w="1654"/>
          </w:tcPr>
          <w:p>
            <w:pPr>
              <w:jc w:val="left"/>
            </w:pPr>
            <w:r/>
            <w:r>
              <w:rPr>
                <w:rFonts w:ascii="Times New Roman" w:hAnsi="Times New Roman"/>
                <w:sz w:val="16"/>
              </w:rPr>
              <w:t>Administración / Asistentes Administrativos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Control de Avance, Logística y Compras (Procura)</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Operarios, Sup. Patio, Mantenimiento y Logística</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r>
      <w:tr>
        <w:tc>
          <w:tcPr>
            <w:tcW w:type="dxa" w:w="1654"/>
          </w:tcPr>
          <w:p>
            <w:pPr>
              <w:jc w:val="left"/>
            </w:pPr>
            <w:r/>
            <w:r>
              <w:rPr>
                <w:rFonts w:ascii="Times New Roman" w:hAnsi="Times New Roman"/>
                <w:sz w:val="16"/>
              </w:rPr>
              <w:t>Contratación y Adm. Contratos</w:t>
            </w:r>
          </w:p>
        </w:tc>
        <w:tc>
          <w:tcPr>
            <w:tcW w:type="dxa" w:w="1654"/>
          </w:tcPr>
          <w:p>
            <w:pPr>
              <w:jc w:val="left"/>
            </w:pPr>
            <w:r/>
            <w:r>
              <w:rPr>
                <w:rFonts w:ascii="Times New Roman" w:hAnsi="Times New Roman"/>
                <w:sz w:val="16"/>
              </w:rPr>
              <w:t>Gerente / Estimadores, Administradores, Planificadores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Recursos Humanos</w:t>
            </w:r>
          </w:p>
        </w:tc>
        <w:tc>
          <w:tcPr>
            <w:tcW w:type="dxa" w:w="1654"/>
          </w:tcPr>
          <w:p>
            <w:pPr>
              <w:jc w:val="left"/>
            </w:pPr>
            <w:r/>
            <w:r>
              <w:rPr>
                <w:rFonts w:ascii="Times New Roman" w:hAnsi="Times New Roman"/>
                <w:sz w:val="16"/>
              </w:rPr>
              <w:t>Gerente de RRHH-Laborales / Asistentes</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t>Proyectos y Producción</w:t>
            </w:r>
          </w:p>
        </w:tc>
        <w:tc>
          <w:tcPr>
            <w:tcW w:type="dxa" w:w="1654"/>
          </w:tcPr>
          <w:p>
            <w:pPr>
              <w:jc w:val="left"/>
            </w:pPr>
            <w:r/>
            <w:r>
              <w:rPr>
                <w:rFonts w:ascii="Times New Roman" w:hAnsi="Times New Roman"/>
                <w:sz w:val="16"/>
              </w:rPr>
              <w:t>Gerentes de Proyecto, Optimización y Servicios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Gerente Metalmecánico</w:t>
            </w:r>
          </w:p>
        </w:tc>
        <w:tc>
          <w:tcPr>
            <w:tcW w:type="dxa" w:w="1654"/>
          </w:tcPr>
          <w:p>
            <w:pPr>
              <w:jc w:val="center"/>
            </w:pPr>
            <w:r/>
            <w:r>
              <w:rPr>
                <w:rFonts w:ascii="Times New Roman" w:hAnsi="Times New Roman"/>
                <w:sz w:val="16"/>
              </w:rPr>
              <w:t>0</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w:t>
            </w:r>
          </w:p>
        </w:tc>
      </w:tr>
      <w:tr>
        <w:tc>
          <w:tcPr>
            <w:tcW w:type="dxa" w:w="1654"/>
          </w:tcPr>
          <w:p>
            <w:pPr>
              <w:jc w:val="left"/>
            </w:pPr>
            <w:r/>
            <w:r>
              <w:rPr>
                <w:rFonts w:ascii="Times New Roman" w:hAnsi="Times New Roman"/>
                <w:sz w:val="16"/>
              </w:rPr>
              <w:t>Ingeniería y Campo</w:t>
            </w:r>
          </w:p>
        </w:tc>
        <w:tc>
          <w:tcPr>
            <w:tcW w:type="dxa" w:w="1654"/>
          </w:tcPr>
          <w:p>
            <w:pPr>
              <w:jc w:val="left"/>
            </w:pPr>
            <w:r/>
            <w:r>
              <w:rPr>
                <w:rFonts w:ascii="Times New Roman" w:hAnsi="Times New Roman"/>
                <w:sz w:val="16"/>
              </w:rPr>
              <w:t>Ingenieros Residentes / Coordinadores (SIHO-A,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3</w:t>
            </w:r>
          </w:p>
        </w:tc>
        <w:tc>
          <w:tcPr>
            <w:tcW w:type="dxa" w:w="1654"/>
          </w:tcPr>
          <w:p>
            <w:pPr>
              <w:jc w:val="center"/>
            </w:pPr>
            <w:r/>
            <w:r>
              <w:rPr>
                <w:rFonts w:ascii="Times New Roman" w:hAnsi="Times New Roman"/>
                <w:sz w:val="16"/>
              </w:rPr>
              <w:t>5</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Inspectores (SIHO, Ambiente, Paramédicos, Calidad)</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2</w:t>
            </w:r>
          </w:p>
        </w:tc>
        <w:tc>
          <w:tcPr>
            <w:tcW w:type="dxa" w:w="1654"/>
          </w:tcPr>
          <w:p>
            <w:pPr>
              <w:jc w:val="center"/>
            </w:pPr>
            <w:r/>
            <w:r>
              <w:rPr>
                <w:rFonts w:ascii="Times New Roman" w:hAnsi="Times New Roman"/>
                <w:sz w:val="16"/>
              </w:rPr>
              <w:t>4</w:t>
            </w:r>
          </w:p>
        </w:tc>
      </w:tr>
      <w:tr>
        <w:tc>
          <w:tcPr>
            <w:tcW w:type="dxa" w:w="1654"/>
          </w:tcPr>
          <w:p>
            <w:pPr>
              <w:jc w:val="left"/>
            </w:pPr>
            <w:r/>
            <w:r>
              <w:rPr>
                <w:rFonts w:ascii="Times New Roman" w:hAnsi="Times New Roman"/>
                <w:sz w:val="16"/>
              </w:rPr>
            </w:r>
          </w:p>
        </w:tc>
        <w:tc>
          <w:tcPr>
            <w:tcW w:type="dxa" w:w="1654"/>
          </w:tcPr>
          <w:p>
            <w:pPr>
              <w:jc w:val="left"/>
            </w:pPr>
            <w:r/>
            <w:r>
              <w:rPr>
                <w:rFonts w:ascii="Times New Roman" w:hAnsi="Times New Roman"/>
                <w:sz w:val="16"/>
              </w:rPr>
              <w:t>Supervisor de Obras, Operadores, Chóferes, Soldadores, Obreros</w:t>
            </w:r>
          </w:p>
        </w:tc>
        <w:tc>
          <w:tcPr>
            <w:tcW w:type="dxa" w:w="1654"/>
          </w:tcPr>
          <w:p>
            <w:pPr>
              <w:jc w:val="center"/>
            </w:pPr>
            <w:r/>
            <w:r>
              <w:rPr>
                <w:rFonts w:ascii="Times New Roman" w:hAnsi="Times New Roman"/>
                <w:sz w:val="16"/>
              </w:rPr>
              <w:t>1</w:t>
            </w:r>
          </w:p>
        </w:tc>
        <w:tc>
          <w:tcPr>
            <w:tcW w:type="dxa" w:w="1654"/>
          </w:tcPr>
          <w:p>
            <w:pPr>
              <w:jc w:val="center"/>
            </w:pPr>
            <w:r/>
            <w:r>
              <w:rPr>
                <w:rFonts w:ascii="Times New Roman" w:hAnsi="Times New Roman"/>
                <w:sz w:val="16"/>
              </w:rPr>
              <w:t>10</w:t>
            </w:r>
          </w:p>
        </w:tc>
        <w:tc>
          <w:tcPr>
            <w:tcW w:type="dxa" w:w="1654"/>
          </w:tcPr>
          <w:p>
            <w:pPr>
              <w:jc w:val="center"/>
            </w:pPr>
            <w:r/>
            <w:r>
              <w:rPr>
                <w:rFonts w:ascii="Times New Roman" w:hAnsi="Times New Roman"/>
                <w:sz w:val="16"/>
              </w:rPr>
              <w:t>11</w:t>
            </w:r>
          </w:p>
        </w:tc>
      </w:tr>
      <w:tr>
        <w:tc>
          <w:tcPr>
            <w:tcW w:type="dxa" w:w="1654"/>
          </w:tcPr>
          <w:p>
            <w:pPr>
              <w:jc w:val="left"/>
            </w:pPr>
            <w:r/>
            <w:r>
              <w:rPr>
                <w:rFonts w:ascii="Times New Roman" w:hAnsi="Times New Roman"/>
                <w:b/>
                <w:sz w:val="16"/>
              </w:rPr>
              <w:t>**TOTAL GENERAL**</w:t>
            </w:r>
          </w:p>
        </w:tc>
        <w:tc>
          <w:tcPr>
            <w:tcW w:type="dxa" w:w="1654"/>
          </w:tcPr>
          <w:p>
            <w:pPr>
              <w:jc w:val="left"/>
            </w:pPr>
            <w:r/>
            <w:r>
              <w:rPr>
                <w:rFonts w:ascii="Times New Roman" w:hAnsi="Times New Roman"/>
                <w:sz w:val="16"/>
              </w:rPr>
            </w:r>
          </w:p>
        </w:tc>
        <w:tc>
          <w:tcPr>
            <w:tcW w:type="dxa" w:w="1654"/>
          </w:tcPr>
          <w:p>
            <w:pPr>
              <w:jc w:val="center"/>
            </w:pPr>
            <w:r/>
            <w:r>
              <w:rPr>
                <w:rFonts w:ascii="Times New Roman" w:hAnsi="Times New Roman"/>
                <w:sz w:val="16"/>
              </w:rPr>
              <w:t>14</w:t>
            </w:r>
          </w:p>
        </w:tc>
        <w:tc>
          <w:tcPr>
            <w:tcW w:type="dxa" w:w="1654"/>
          </w:tcPr>
          <w:p>
            <w:pPr>
              <w:jc w:val="center"/>
            </w:pPr>
            <w:r/>
            <w:r>
              <w:rPr>
                <w:rFonts w:ascii="Times New Roman" w:hAnsi="Times New Roman"/>
                <w:sz w:val="16"/>
              </w:rPr>
              <w:t>28</w:t>
            </w:r>
          </w:p>
        </w:tc>
        <w:tc>
          <w:tcPr>
            <w:tcW w:type="dxa" w:w="165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0"/>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2551"/>
        <w:gridCol w:w="2551"/>
        <w:gridCol w:w="1701"/>
        <w:gridCol w:w="1984"/>
      </w:tblGrid>
      <w:tr>
        <w:tc>
          <w:tcPr>
            <w:tcW w:w="2551" w:type="dxa"/>
            <w:shd w:val="clear" w:color="auto" w:fill="4472C4"/>
          </w:tcPr>
          <w:p>
            <w:pPr>
              <w:spacing w:before="60" w:after="60" w:line="240" w:lineRule="auto"/>
              <w:jc w:val="center"/>
            </w:pPr>
            <w:r>
              <w:rPr>
                <w:rFonts w:ascii="Times New Roman" w:hAnsi="Times New Roman"/>
                <w:b/>
                <w:color w:val="FFFFFF"/>
                <w:sz w:val="20"/>
              </w:rPr>
              <w:t>Objetivo Específico</w:t>
            </w:r>
          </w:p>
        </w:tc>
        <w:tc>
          <w:tcPr>
            <w:tcW w:w="2551" w:type="dxa"/>
            <w:shd w:val="clear" w:color="auto" w:fill="4472C4"/>
          </w:tcPr>
          <w:p>
            <w:pPr>
              <w:spacing w:before="60" w:after="60" w:line="240" w:lineRule="auto"/>
              <w:jc w:val="center"/>
            </w:pPr>
            <w:r>
              <w:rPr>
                <w:rFonts w:ascii="Times New Roman" w:hAnsi="Times New Roman"/>
                <w:b/>
                <w:color w:val="FFFFFF"/>
                <w:sz w:val="20"/>
              </w:rPr>
              <w:t>Actividades</w:t>
            </w:r>
          </w:p>
        </w:tc>
        <w:tc>
          <w:tcPr>
            <w:tcW w:w="1701" w:type="dxa"/>
            <w:shd w:val="clear" w:color="auto" w:fill="4472C4"/>
          </w:tcPr>
          <w:p>
            <w:pPr>
              <w:spacing w:before="60" w:after="60" w:line="240" w:lineRule="auto"/>
              <w:jc w:val="center"/>
            </w:pPr>
            <w:r>
              <w:rPr>
                <w:rFonts w:ascii="Times New Roman" w:hAnsi="Times New Roman"/>
                <w:b/>
                <w:color w:val="FFFFFF"/>
                <w:sz w:val="20"/>
              </w:rPr>
              <w:t>Recursos</w:t>
            </w:r>
          </w:p>
        </w:tc>
        <w:tc>
          <w:tcPr>
            <w:tcW w:w="1984" w:type="dxa"/>
            <w:shd w:val="clear" w:color="auto" w:fill="4472C4"/>
          </w:tcPr>
          <w:p>
            <w:pPr>
              <w:spacing w:before="60" w:after="60" w:line="240" w:lineRule="auto"/>
              <w:jc w:val="center"/>
            </w:pPr>
            <w:r>
              <w:rPr>
                <w:rFonts w:ascii="Times New Roman" w:hAnsi="Times New Roman"/>
                <w:b/>
                <w:color w:val="FFFFFF"/>
                <w:sz w:val="20"/>
              </w:rPr>
              <w:t>Indicadores de Logro</w:t>
            </w:r>
          </w:p>
        </w:tc>
      </w:tr>
      <w:tr>
        <w:tc>
          <w:tcPr>
            <w:tcW w:w="2551"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2551" w:type="dxa"/>
            <w:shd w:val="clear" w:color="auto" w:fill="FFFFFF"/>
          </w:tcPr>
          <w:p>
            <w:pPr>
              <w:spacing w:before="60" w:after="60" w:line="240" w:lineRule="auto"/>
              <w:jc w:val="both"/>
            </w:pPr>
            <w:r>
              <w:rPr>
                <w:rFonts w:ascii="Times New Roman" w:hAnsi="Times New Roman"/>
                <w:b w:val="0"/>
                <w:color w:val="000000"/>
                <w:sz w:val="20"/>
              </w:rPr>
              <w:t>Aplicación de guías de observación directa y entrevistas al personal encargado del ciclo de compras de la empresa.</w:t>
            </w:r>
          </w:p>
        </w:tc>
        <w:tc>
          <w:tcPr>
            <w:tcW w:w="1701"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 de oficina.</w:t>
            </w:r>
          </w:p>
        </w:tc>
        <w:tc>
          <w:tcPr>
            <w:tcW w:w="1984" w:type="dxa"/>
            <w:shd w:val="clear" w:color="auto" w:fill="FFFFFF"/>
          </w:tcPr>
          <w:p>
            <w:pPr>
              <w:spacing w:before="60" w:after="60" w:line="240" w:lineRule="auto"/>
              <w:jc w:val="both"/>
            </w:pPr>
            <w:r>
              <w:rPr>
                <w:rFonts w:ascii="Times New Roman" w:hAnsi="Times New Roman"/>
                <w:b w:val="0"/>
                <w:color w:val="000000"/>
                <w:sz w:val="20"/>
              </w:rPr>
              <w:t>Mapeo situacional del flujo actual de las solicitudes de compra elaborado.</w:t>
            </w:r>
          </w:p>
        </w:tc>
      </w:tr>
      <w:tr>
        <w:tc>
          <w:tcPr>
            <w:tcW w:w="2551"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2551" w:type="dxa"/>
            <w:shd w:val="clear" w:color="auto" w:fill="D9E1F2"/>
          </w:tcPr>
          <w:p>
            <w:pPr>
              <w:spacing w:before="60" w:after="60" w:line="240" w:lineRule="auto"/>
              <w:jc w:val="both"/>
            </w:pPr>
            <w:r>
              <w:rPr>
                <w:rFonts w:ascii="Times New Roman" w:hAnsi="Times New Roman"/>
                <w:b w:val="0"/>
                <w:color w:val="000000"/>
                <w:sz w:val="20"/>
              </w:rPr>
              <w:t>Revisión y análisis de los tiempos promedio de respuesta en expedientes de compras anteriores y detección de fases críticas y pasos duplicados.</w:t>
            </w:r>
          </w:p>
        </w:tc>
        <w:tc>
          <w:tcPr>
            <w:tcW w:w="1701"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c>
          <w:tcPr>
            <w:tcW w:w="1984" w:type="dxa"/>
            <w:shd w:val="clear" w:color="auto" w:fill="D9E1F2"/>
          </w:tcPr>
          <w:p>
            <w:pPr>
              <w:spacing w:before="60" w:after="60" w:line="240" w:lineRule="auto"/>
              <w:jc w:val="both"/>
            </w:pPr>
            <w:r>
              <w:rPr>
                <w:rFonts w:ascii="Times New Roman" w:hAnsi="Times New Roman"/>
                <w:b w:val="0"/>
                <w:color w:val="000000"/>
                <w:sz w:val="20"/>
              </w:rPr>
              <w:t>Matriz de criticidad con los puntos de complejidad y retraso documental identificados.</w:t>
            </w:r>
          </w:p>
        </w:tc>
      </w:tr>
      <w:tr>
        <w:tc>
          <w:tcPr>
            <w:tcW w:w="2551"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2551" w:type="dxa"/>
            <w:shd w:val="clear" w:color="auto" w:fill="FFFFFF"/>
          </w:tcPr>
          <w:p>
            <w:pPr>
              <w:spacing w:before="60" w:after="60" w:line="240" w:lineRule="auto"/>
              <w:jc w:val="both"/>
            </w:pPr>
            <w:r>
              <w:rPr>
                <w:rFonts w:ascii="Times New Roman" w:hAnsi="Times New Roman"/>
                <w:b w:val="0"/>
                <w:color w:val="000000"/>
                <w:sz w:val="20"/>
              </w:rPr>
              <w:t>Clasificación analítica de los factores determinantes de las demoras y redundancias mediante mesas de trabajo técnica con la administración.</w:t>
            </w:r>
          </w:p>
        </w:tc>
        <w:tc>
          <w:tcPr>
            <w:tcW w:w="1701" w:type="dxa"/>
            <w:shd w:val="clear" w:color="auto" w:fill="FFFFFF"/>
          </w:tcPr>
          <w:p>
            <w:pPr>
              <w:spacing w:before="60" w:after="60" w:line="240" w:lineRule="auto"/>
              <w:jc w:val="both"/>
            </w:pPr>
            <w:r>
              <w:rPr>
                <w:rFonts w:ascii="Times New Roman" w:hAnsi="Times New Roman"/>
                <w:b w:val="0"/>
                <w:color w:val="000000"/>
                <w:sz w:val="20"/>
              </w:rPr>
              <w:t>Diagramas causa-efecto, material de papelería, marco de control de procesos.</w:t>
            </w:r>
          </w:p>
        </w:tc>
        <w:tc>
          <w:tcPr>
            <w:tcW w:w="1984" w:type="dxa"/>
            <w:shd w:val="clear" w:color="auto" w:fill="FFFFFF"/>
          </w:tcPr>
          <w:p>
            <w:pPr>
              <w:spacing w:before="60" w:after="60" w:line="240" w:lineRule="auto"/>
              <w:jc w:val="both"/>
            </w:pPr>
            <w:r>
              <w:rPr>
                <w:rFonts w:ascii="Times New Roman" w:hAnsi="Times New Roman"/>
                <w:b w:val="0"/>
                <w:color w:val="000000"/>
                <w:sz w:val="20"/>
              </w:rPr>
              <w:t>Informe analítico con la jerarquización de las causas raíz de la complejidad procedimental.</w:t>
            </w:r>
          </w:p>
        </w:tc>
      </w:tr>
      <w:tr>
        <w:tc>
          <w:tcPr>
            <w:tcW w:w="2551"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2551" w:type="dxa"/>
            <w:shd w:val="clear" w:color="auto" w:fill="D9E1F2"/>
          </w:tcPr>
          <w:p>
            <w:pPr>
              <w:spacing w:before="60" w:after="60" w:line="240" w:lineRule="auto"/>
              <w:jc w:val="both"/>
            </w:pPr>
            <w:r>
              <w:rPr>
                <w:rFonts w:ascii="Times New Roman" w:hAnsi="Times New Roman"/>
                <w:b w:val="0"/>
                <w:color w:val="000000"/>
                <w:sz w:val="20"/>
              </w:rPr>
              <w:t>Redacción del nuevo flujo de trabajo simplificado, asignación formal de roles y diseño de plantillas estandarizadas para cotizaciones.</w:t>
            </w:r>
          </w:p>
        </w:tc>
        <w:tc>
          <w:tcPr>
            <w:tcW w:w="1701"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 normativas de la empresa.</w:t>
            </w:r>
          </w:p>
        </w:tc>
        <w:tc>
          <w:tcPr>
            <w:tcW w:w="1984" w:type="dxa"/>
            <w:shd w:val="clear" w:color="auto" w:fill="D9E1F2"/>
          </w:tcPr>
          <w:p>
            <w:pPr>
              <w:spacing w:before="60" w:after="60" w:line="240" w:lineRule="auto"/>
              <w:jc w:val="both"/>
            </w:pPr>
            <w:r>
              <w:rPr>
                <w:rFonts w:ascii="Times New Roman" w:hAnsi="Times New Roman"/>
                <w:b w:val="0"/>
                <w:color w:val="000000"/>
                <w:sz w:val="20"/>
              </w:rPr>
              <w:t>Propuesta de simplificación administrativa de la procura formulada y validada.</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Actividades Administrativas</w:t>
            </w:r>
          </w:p>
        </w:tc>
        <w:tc>
          <w:tcPr>
            <w:tcW w:w="523" w:type="dxa"/>
            <w:shd w:val="clear" w:color="auto" w:fill="4472C4"/>
          </w:tcPr>
          <w:p>
            <w:pPr>
              <w:spacing w:before="60" w:after="60" w:line="240" w:lineRule="auto"/>
              <w:jc w:val="center"/>
            </w:pPr>
            <w:r>
              <w:rPr>
                <w:rFonts w:ascii="Times New Roman" w:hAnsi="Times New Roman"/>
                <w:b/>
                <w:color w:val="FFFFFF"/>
                <w:sz w:val="18"/>
              </w:rPr>
              <w:t>S1</w:t>
            </w:r>
          </w:p>
        </w:tc>
        <w:tc>
          <w:tcPr>
            <w:tcW w:w="523" w:type="dxa"/>
            <w:shd w:val="clear" w:color="auto" w:fill="4472C4"/>
          </w:tcPr>
          <w:p>
            <w:pPr>
              <w:spacing w:before="60" w:after="60" w:line="240" w:lineRule="auto"/>
              <w:jc w:val="center"/>
            </w:pPr>
            <w:r>
              <w:rPr>
                <w:rFonts w:ascii="Times New Roman" w:hAnsi="Times New Roman"/>
                <w:b/>
                <w:color w:val="FFFFFF"/>
                <w:sz w:val="18"/>
              </w:rPr>
              <w:t>S2</w:t>
            </w:r>
          </w:p>
        </w:tc>
        <w:tc>
          <w:tcPr>
            <w:tcW w:w="523" w:type="dxa"/>
            <w:shd w:val="clear" w:color="auto" w:fill="4472C4"/>
          </w:tcPr>
          <w:p>
            <w:pPr>
              <w:spacing w:before="60" w:after="60" w:line="240" w:lineRule="auto"/>
              <w:jc w:val="center"/>
            </w:pPr>
            <w:r>
              <w:rPr>
                <w:rFonts w:ascii="Times New Roman" w:hAnsi="Times New Roman"/>
                <w:b/>
                <w:color w:val="FFFFFF"/>
                <w:sz w:val="18"/>
              </w:rPr>
              <w:t>S3</w:t>
            </w:r>
          </w:p>
        </w:tc>
        <w:tc>
          <w:tcPr>
            <w:tcW w:w="523" w:type="dxa"/>
            <w:shd w:val="clear" w:color="auto" w:fill="4472C4"/>
          </w:tcPr>
          <w:p>
            <w:pPr>
              <w:spacing w:before="60" w:after="60" w:line="240" w:lineRule="auto"/>
              <w:jc w:val="center"/>
            </w:pPr>
            <w:r>
              <w:rPr>
                <w:rFonts w:ascii="Times New Roman" w:hAnsi="Times New Roman"/>
                <w:b/>
                <w:color w:val="FFFFFF"/>
                <w:sz w:val="18"/>
              </w:rPr>
              <w:t>S4</w:t>
            </w:r>
          </w:p>
        </w:tc>
        <w:tc>
          <w:tcPr>
            <w:tcW w:w="523" w:type="dxa"/>
            <w:shd w:val="clear" w:color="auto" w:fill="4472C4"/>
          </w:tcPr>
          <w:p>
            <w:pPr>
              <w:spacing w:before="60" w:after="60" w:line="240" w:lineRule="auto"/>
              <w:jc w:val="center"/>
            </w:pPr>
            <w:r>
              <w:rPr>
                <w:rFonts w:ascii="Times New Roman" w:hAnsi="Times New Roman"/>
                <w:b/>
                <w:color w:val="FFFFFF"/>
                <w:sz w:val="18"/>
              </w:rPr>
              <w:t>S5</w:t>
            </w:r>
          </w:p>
        </w:tc>
        <w:tc>
          <w:tcPr>
            <w:tcW w:w="523" w:type="dxa"/>
            <w:shd w:val="clear" w:color="auto" w:fill="4472C4"/>
          </w:tcPr>
          <w:p>
            <w:pPr>
              <w:spacing w:before="60" w:after="60" w:line="240" w:lineRule="auto"/>
              <w:jc w:val="center"/>
            </w:pPr>
            <w:r>
              <w:rPr>
                <w:rFonts w:ascii="Times New Roman" w:hAnsi="Times New Roman"/>
                <w:b/>
                <w:color w:val="FFFFFF"/>
                <w:sz w:val="18"/>
              </w:rPr>
              <w:t>S6</w:t>
            </w:r>
          </w:p>
        </w:tc>
        <w:tc>
          <w:tcPr>
            <w:tcW w:w="523" w:type="dxa"/>
            <w:shd w:val="clear" w:color="auto" w:fill="4472C4"/>
          </w:tcPr>
          <w:p>
            <w:pPr>
              <w:spacing w:before="60" w:after="60" w:line="240" w:lineRule="auto"/>
              <w:jc w:val="center"/>
            </w:pPr>
            <w:r>
              <w:rPr>
                <w:rFonts w:ascii="Times New Roman" w:hAnsi="Times New Roman"/>
                <w:b/>
                <w:color w:val="FFFFFF"/>
                <w:sz w:val="18"/>
              </w:rPr>
              <w:t>S7</w:t>
            </w:r>
          </w:p>
        </w:tc>
        <w:tc>
          <w:tcPr>
            <w:tcW w:w="523" w:type="dxa"/>
            <w:shd w:val="clear" w:color="auto" w:fill="4472C4"/>
          </w:tcPr>
          <w:p>
            <w:pPr>
              <w:spacing w:before="60" w:after="60" w:line="240" w:lineRule="auto"/>
              <w:jc w:val="center"/>
            </w:pPr>
            <w:r>
              <w:rPr>
                <w:rFonts w:ascii="Times New Roman" w:hAnsi="Times New Roman"/>
                <w:b/>
                <w:color w:val="FFFFFF"/>
                <w:sz w:val="18"/>
              </w:rPr>
              <w:t>S8</w:t>
            </w:r>
          </w:p>
        </w:tc>
        <w:tc>
          <w:tcPr>
            <w:tcW w:w="523" w:type="dxa"/>
            <w:shd w:val="clear" w:color="auto" w:fill="4472C4"/>
          </w:tcPr>
          <w:p>
            <w:pPr>
              <w:spacing w:before="60" w:after="60" w:line="240" w:lineRule="auto"/>
              <w:jc w:val="center"/>
            </w:pPr>
            <w:r>
              <w:rPr>
                <w:rFonts w:ascii="Times New Roman" w:hAnsi="Times New Roman"/>
                <w:b/>
                <w:color w:val="FFFFFF"/>
                <w:sz w:val="18"/>
              </w:rPr>
              <w:t>S9</w:t>
            </w:r>
          </w:p>
        </w:tc>
        <w:tc>
          <w:tcPr>
            <w:tcW w:w="523" w:type="dxa"/>
            <w:shd w:val="clear" w:color="auto" w:fill="4472C4"/>
          </w:tcPr>
          <w:p>
            <w:pPr>
              <w:spacing w:before="60" w:after="60" w:line="240" w:lineRule="auto"/>
              <w:jc w:val="center"/>
            </w:pPr>
            <w:r>
              <w:rPr>
                <w:rFonts w:ascii="Times New Roman" w:hAnsi="Times New Roman"/>
                <w:b/>
                <w:color w:val="FFFFFF"/>
                <w:sz w:val="18"/>
              </w:rPr>
              <w:t>S10</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2"/>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En el contexto del departamento administrativo de Lubricantes y Equipos Varyna, C.A., la procura cumple un rol estratégico al garantizar la disponibilidad oportuna de insumos para las operaciones industriales y de campo. La ausencia de procedimientos formalizados en este ciclo genera interrupciones en la cadena de suministro interna, evidenciando la necesidad de una propuesta de optimización procedimental que estandarice cada fase del proceso de adquisición.</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4"/>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6"/>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7"/>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8"/>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39"/>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0"/>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