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8"/>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3"/>
          <w:pgSz w:w="12240" w:h="15840"/>
          <w:pgMar w:top="1701"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
      <w:pPr>
        <w:ind w:firstLine="709"/>
      </w:pPr>
      <w:r>
        <w:rPr>
          <w:b/>
        </w:rPr>
        <w:t xml:space="preserve">Palabras claves: </w:t>
      </w:r>
      <w:r>
        <w:t>control administrativo, solicitudes de servicio, trazabilidad, telecomunicaciones,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125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Ingeniería de Telecomunicaciones, C.A.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1847904"/>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Ingeniería de Telecomunicaciones, C.A.</w:t>
      </w:r>
      <w:bookmarkEnd w:id="bm_grafico3"/>
    </w:p>
    <w:p>
      <w:pPr>
        <w:spacing w:before="480"/>
        <w:jc w:val="center"/>
      </w:pPr>
      <w:r>
        <w:drawing>
          <wp:inline xmlns:a="http://schemas.openxmlformats.org/drawingml/2006/main" xmlns:pic="http://schemas.openxmlformats.org/drawingml/2006/picture">
            <wp:extent cx="4320000" cy="2680292"/>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4320000" cy="2680292"/>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Administración.</w:t>
      </w:r>
      <w:bookmarkEnd w:id="bm_grafico4"/>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5"/>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¿Qué mejoras pueden proponerse al control administrativo de las solicitudes de servicios de telecomunicaciones en IDETEL para fortalecer la trazabilidad, reducir reprocesos y facilitar el seguimiento de cada caso?</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el proceso administrativo actual de recepción, registro, seguimiento y cierre de solicitudes de afiliación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los mecanismos de control utilizados para el seguimiento de las solicitudes de servicio.</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sobre los tiempos de respuesta, la trazabilidad de los casos y la calidad de la atención al suscriptor.</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mediante un flujo estandarizado, formatos de registro y mecanismos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el proceso administrativo actual de recepción, registro, seguimiento y cierre de solicitudes de afiliación e incidencias en Ingeniería de Telecomunicaciones, C.A.</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presentes en los mecanismos de control utilizados para el seguimiento de las solicitudes de servicio.</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y aplicar entrevistas estructuradas al personal, revisar casos históricos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hojas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detectadas sobre los tiempos de respuesta, la trazabilidad de los casos y la calidad de la atención al suscriptor.</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 las debilidades sobre la atención y trazabilidad.</w:t>
            </w:r>
          </w:p>
        </w:tc>
        <w:tc>
          <w:tcPr>
            <w:tcW w:w="1644" w:type="dxa"/>
            <w:shd w:val="clear" w:color="auto" w:fill="FFFFFF"/>
          </w:tcPr>
          <w:p>
            <w:pPr>
              <w:spacing w:before="60" w:after="60" w:line="240" w:lineRule="auto"/>
              <w:jc w:val="both"/>
            </w:pPr>
            <w:r>
              <w:rPr>
                <w:rFonts w:ascii="Times New Roman" w:hAnsi="Times New Roman"/>
                <w:b w:val="0"/>
                <w:color w:val="000000"/>
                <w:sz w:val="20"/>
              </w:rPr>
              <w:t>Comparar tiempos de respuesta, revisar incidencias y relacionar las fallas administrativas con reprocesos o dificultades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registros y comparación de tiempos.</w:t>
            </w:r>
          </w:p>
        </w:tc>
        <w:tc>
          <w:tcPr>
            <w:tcW w:w="1695" w:type="dxa"/>
            <w:shd w:val="clear" w:color="auto" w:fill="FFFFFF"/>
          </w:tcPr>
          <w:p>
            <w:pPr>
              <w:spacing w:before="60" w:after="60" w:line="240" w:lineRule="auto"/>
              <w:jc w:val="both"/>
            </w:pPr>
            <w:r>
              <w:rPr>
                <w:rFonts w:ascii="Times New Roman" w:hAnsi="Times New Roman"/>
                <w:b w:val="0"/>
                <w:color w:val="000000"/>
                <w:sz w:val="20"/>
              </w:rPr>
              <w:t>Registros de incidencias, reportes internos y hoja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 mediante un flujo estandarizado, formatos de registro y mecanismos básicos de seguimiento.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validar la propuesta con el tutor industrial.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7"/>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9"/>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desarrollaron actividades operativas y de análisis mediante una rotación inicial por Atención al Cliente y una segunda etapa de apoyo en Administración: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punto de inicio de las solicitudes de afiliación e incidencias, identificando los datos que se generan en Atención al Cliente y la forma en que son comunicados a otras áreas.</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Atención al Cliente mediante recepción y registro de pagos, verificación de datos básicos de suscriptores y orientación inicial sobre solicitudes e incidencias reportadas.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recorrido de las solicitudes desde su recepción, revisión de registros disponibles y elaboración de un esquema preliminar de las etapas y áreas que intervienen en cada tipo de caso.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Continuación del apoyo en Atención al Cliente, registro de pagos y solicitudes, actualización de información básica y seguimiento inicial de casos remitidos a otras áreas.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una guía de entrevista estructurada y revisión del flujo observado para precisar los puntos donde se pierde continuidad o se dificulta conocer el estatus de las solicitudes.</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Inicio de la rotación por Administración con apoyo en procesamiento de pagos, facturación, revisión de documentación y seguimiento administrativo de solicitudes activas.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estructuradas al personal vinculado con Administración, Atención al Cliente y áreas relacionadas, registrando las principales fallas percibidas en comunicación, control y seguimiento.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tareas administrativas de facturación, actualización de registros y verificación del cierre de solicitudes e incidencias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Organización de los hallazgos del diagnóstico y elaboración del diagrama de Ishikawa para representar las causas relacionadas con procedimiento, comunicación, registro y seguimiento; inicio de la revisión de bases teóricas.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de pagos y documentos administrativos, apoyo en facturación y elaboración de reportes básicos requeridos por la supervisión.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identificadas sobre los tiempos de respuesta, la trazabilidad y la atención al suscriptor, complementando el desarrollo del marco teórico.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seguimiento de casos, actualización de registros administrativos y organización de documentación vinculada con solicitudes de servicio.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estandarizado para la gestión de solicitudes, estableciendo etapas, responsables, tiempos de referencia y puntos de control desde la recepción hasta el cierre.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facturación, seguimiento de incidencias y preparación de reportes administrativos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formatos estandarizados para afiliaciones e incidencias y redacción del procedimiento de control que acompaña al flujo propuesto.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 Administración y apoyo en el cierre y seguimiento de casos correspondientes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con el tutor industrial, incorporación de observaciones y preparación del flujograma definitivo del proceso propuesto.</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 los resultados y de la propuesta ante la supervisión del área, gestión de los recaudos de cierre y organización final de la documentación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académico, revisión de la normativa IUTECP, incorporación de anexos y correcciones finales para la entrega institucional.</w:t>
      </w:r>
    </w:p>
    <w:p>
      <w:pPr>
        <w:sectPr>
          <w:footerReference w:type="default" r:id="rId40"/>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1"/>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2"/>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3"/>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3960000" cy="4860000"/>
            <wp:docPr id="6" name="Picture 6"/>
            <wp:cNvGraphicFramePr>
              <a:graphicFrameLocks noChangeAspect="1"/>
            </wp:cNvGraphicFramePr>
            <a:graphic>
              <a:graphicData uri="http://schemas.openxmlformats.org/drawingml/2006/picture">
                <pic:pic>
                  <pic:nvPicPr>
                    <pic:cNvPr id="0" name="4.png"/>
                    <pic:cNvPicPr/>
                  </pic:nvPicPr>
                  <pic:blipFill>
                    <a:blip r:embed="rId14"/>
                    <a:stretch>
                      <a:fillRect/>
                    </a:stretch>
                  </pic:blipFill>
                  <pic:spPr>
                    <a:xfrm>
                      <a:off x="0" y="0"/>
                      <a:ext cx="3960000" cy="4860000"/>
                    </a:xfrm>
                    <a:prstGeom prst="rect"/>
                  </pic:spPr>
                </pic:pic>
              </a:graphicData>
            </a:graphic>
          </wp:inline>
        </w:drawing>
      </w:r>
    </w:p>
    <w:sectPr w:rsidR="00FC693F" w:rsidRPr="0006063C" w:rsidSect="00034616">
      <w:footerReference w:type="default" r:id="rId44"/>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 Id="rId41" Type="http://schemas.openxmlformats.org/officeDocument/2006/relationships/footer" Target="footer27.xml"/><Relationship Id="rId42" Type="http://schemas.openxmlformats.org/officeDocument/2006/relationships/footer" Target="footer28.xml"/><Relationship Id="rId43" Type="http://schemas.openxmlformats.org/officeDocument/2006/relationships/footer" Target="footer29.xml"/><Relationship Id="rId44"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