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PARA EL CONTROL, TRAZABILIDAD Y REPORTE DOCUMENTAL EN LA PRESIDENCIA DE VENANGOCUPET, S.A.</w:t>
      </w:r>
    </w:p>
    <w:p>
      <w:pPr>
        <w:spacing w:line="276" w:lineRule="auto" w:before="3260"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630" w:after="0"/>
        <w:jc w:val="center"/>
      </w:pPr>
      <w:r>
        <w:rPr>
          <w:rFonts w:ascii="Times New Roman" w:hAnsi="Times New Roman"/>
          <w:sz w:val="24"/>
        </w:rPr>
        <w:t>El Tigre, agosto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DESARROLLO DE UN PROTOTIPO DE SISTEMA PARA EL CONTROL, TRAZABILIDAD Y REPORTE DOCUMENTAL EN LA PRESIDENCIA DE VENANGOCUPET, S.A.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323"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9"/>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2"/>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desarrollo del sistema automatizado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6"/>
          <w:pgSz w:w="12240" w:h="15840"/>
          <w:pgMar w:top="1701" w:right="1701" w:bottom="1701" w:left="2268" w:header="720" w:footer="720" w:gutter="0"/>
          <w:cols w:space="720"/>
          <w:titlePg/>
          <w:docGrid w:linePitch="360"/>
        </w:sectPr>
      </w:pPr>
    </w:p>
    <w:p>
      <w:pPr>
        <w:sectPr>
          <w:footerReference w:type="default" r:id="rId27"/>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la Empresa Mixta Petrolera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Referencia cartográfica de la ubicación de las oficinas administrativas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Venangocupet, S.A.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Presidencia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3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1"/>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DESARROLLO DE UN PROTOTIPO DE SISTEMA PARA EL CONTROL, TRAZABILIDAD Y REPORTE DOCUMENTAL EN LA PRESIDENCIA DE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ind w:firstLine="709"/>
      </w:pPr>
      <w:r>
        <w:rPr>
          <w:b/>
        </w:rPr>
        <w:t xml:space="preserve">Palabras claves: </w:t>
      </w:r>
      <w:r>
        <w:t>sistema automatizado, trazabilidad documental, SQLite, Wails, pasantías</w:t>
      </w:r>
    </w:p>
    <w:p>
      <w:pPr>
        <w:sectPr>
          <w:footerReference w:type="default" r:id="rId33"/>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gestión documental constituye una actividad esencial en las organizaciones, pues permite mantener control sobre la recepción, revisión, circulación y despacho de información necesaria para el funcionamiento administrativo. En áreas de alta dirección, conocer con rapidez el estado y recorrido de los expedientes contribuye a responder oportunamente a los requerimientos de las distintas unidades.</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la transcripción manual y repetitiva de datos puede generar duplicidades, omisiones y demoras para elaborar resúmenes solicitados por la directiva, lo que hizo pertinente desarrollar una herramienta de escritorio para organizar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sustentado en fundamentos de sistemas de información, gestión documental, bases de datos relacionales y automatización de procesos administrativos. El alcance comprendió diagnóstico, definición de requerimientos, diseño lógico, implementación y validación funcional.</w:t>
      </w:r>
    </w:p>
    <w:p>
      <w:pPr>
        <w:spacing w:line="360" w:lineRule="auto" w:after="0" w:before="0"/>
        <w:ind w:firstLine="709"/>
        <w:jc w:val="both"/>
      </w:pPr>
      <w:r>
        <w:rPr>
          <w:rFonts w:ascii="Times New Roman" w:hAnsi="Times New Roman"/>
          <w:i w:val="0"/>
          <w:sz w:val="24"/>
        </w:rPr>
        <w:t>El informe se organiza en cinco capítulos: realidad organizacional; diagnóstico, objetivos y planificación; fundamentos teóricos; actividades realizadas; y conclusiones y recomendaciones.</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6"/>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de reservas de hidrocarburos.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y optimizar el uso de todos los recursos.</w:t>
      </w:r>
    </w:p>
    <w:p>
      <w:pPr>
        <w:spacing w:line="360" w:lineRule="auto"/>
        <w:ind w:firstLine="709"/>
        <w:jc w:val="both"/>
      </w:pPr>
      <w:r>
        <w:rPr>
          <w:rFonts w:ascii="Times New Roman" w:hAnsi="Times New Roman"/>
          <w:sz w:val="24"/>
        </w:rPr>
        <w:t xml:space="preserve">2. </w:t>
      </w:r>
      <w:r>
        <w:rPr>
          <w:rFonts w:ascii="Times New Roman" w:hAnsi="Times New Roman"/>
          <w:sz w:val="24"/>
        </w:rPr>
        <w:t>Impulsar el desarrollo sustentable de las comunidades vecinas mediante el fortalecimiento de las organizaciones de base y la diversificación económica.</w:t>
      </w:r>
    </w:p>
    <w:p>
      <w:pPr>
        <w:spacing w:line="360" w:lineRule="auto"/>
        <w:ind w:firstLine="709"/>
        <w:jc w:val="both"/>
      </w:pPr>
      <w:r>
        <w:rPr>
          <w:rFonts w:ascii="Times New Roman" w:hAnsi="Times New Roman"/>
          <w:sz w:val="24"/>
        </w:rPr>
        <w:t xml:space="preserve">3. </w:t>
      </w:r>
      <w:r>
        <w:rPr>
          <w:rFonts w:ascii="Times New Roman" w:hAnsi="Times New Roman"/>
          <w:sz w:val="24"/>
        </w:rPr>
        <w:t>Cumplir con las políticas, leyes, normas, procedimientos y lineamientos corporativos.</w:t>
      </w:r>
    </w:p>
    <w:p>
      <w:pPr>
        <w:spacing w:line="360" w:lineRule="auto"/>
        <w:ind w:firstLine="709"/>
        <w:jc w:val="both"/>
      </w:pPr>
      <w:r>
        <w:rPr>
          <w:rFonts w:ascii="Times New Roman" w:hAnsi="Times New Roman"/>
          <w:sz w:val="24"/>
        </w:rPr>
        <w:t xml:space="preserve">4. </w:t>
      </w:r>
      <w:r>
        <w:rPr>
          <w:rFonts w:ascii="Times New Roman" w:hAnsi="Times New Roman"/>
          <w:sz w:val="24"/>
        </w:rPr>
        <w:t>Conocer y aplicar las resoluciones, decretos y leyes de la industria del petróleo frente a las operaciones de la empresa en materia laboral.</w:t>
      </w:r>
    </w:p>
    <w:p>
      <w:pPr>
        <w:spacing w:line="360" w:lineRule="auto"/>
        <w:ind w:firstLine="709"/>
        <w:jc w:val="both"/>
      </w:pPr>
      <w:r>
        <w:rPr>
          <w:rFonts w:ascii="Times New Roman" w:hAnsi="Times New Roman"/>
          <w:sz w:val="24"/>
        </w:rPr>
        <w:t xml:space="preserve">5. </w:t>
      </w:r>
      <w:r>
        <w:rPr>
          <w:rFonts w:ascii="Times New Roman" w:hAnsi="Times New Roman"/>
          <w:sz w:val="24"/>
        </w:rPr>
        <w:t>Incentivar buenas relaciones interpersonales y laborales entre todos los trabajadores.</w:t>
      </w:r>
    </w:p>
    <w:p>
      <w:pPr>
        <w:spacing w:line="360" w:lineRule="auto"/>
        <w:ind w:firstLine="709"/>
        <w:jc w:val="both"/>
      </w:pPr>
      <w:r>
        <w:rPr>
          <w:rFonts w:ascii="Times New Roman" w:hAnsi="Times New Roman"/>
          <w:sz w:val="24"/>
        </w:rPr>
        <w:t xml:space="preserve">6. </w:t>
      </w:r>
      <w:r>
        <w:rPr>
          <w:rFonts w:ascii="Times New Roman" w:hAnsi="Times New Roman"/>
          <w:sz w:val="24"/>
        </w:rPr>
        <w:t>Mantener un alto nivel de comunicación y apoyo con el personal e informar acerca de los cambios y/o acciones de interés social y laboral.</w:t>
      </w:r>
    </w:p>
    <w:p>
      <w:pPr>
        <w:spacing w:line="360" w:lineRule="auto"/>
        <w:ind w:firstLine="709"/>
        <w:jc w:val="both"/>
      </w:pPr>
      <w:r>
        <w:rPr>
          <w:rFonts w:ascii="Times New Roman" w:hAnsi="Times New Roman"/>
          <w:sz w:val="24"/>
        </w:rPr>
        <w:t xml:space="preserve">7. </w:t>
      </w:r>
      <w:r>
        <w:rPr>
          <w:rFonts w:ascii="Times New Roman" w:hAnsi="Times New Roman"/>
          <w:sz w:val="24"/>
        </w:rPr>
        <w:t>Apoyar los objetivos y las metas de la organización en armonía con el desarrollo profesional del empleado.</w:t>
      </w:r>
    </w:p>
    <w:p>
      <w:pPr>
        <w:spacing w:line="360" w:lineRule="auto"/>
        <w:ind w:firstLine="709"/>
        <w:jc w:val="both"/>
      </w:pPr>
      <w:r>
        <w:rPr>
          <w:rFonts w:ascii="Times New Roman" w:hAnsi="Times New Roman"/>
          <w:sz w:val="24"/>
        </w:rPr>
        <w:t xml:space="preserve">8. </w:t>
      </w:r>
      <w:r>
        <w:rPr>
          <w:rFonts w:ascii="Times New Roman" w:hAnsi="Times New Roman"/>
          <w:sz w:val="24"/>
        </w:rPr>
        <w:t>Mantener el carácter confidencial de la información operativa y administrativa de la empresa.</w:t>
      </w:r>
    </w:p>
    <w:p>
      <w:pPr>
        <w:spacing w:line="360" w:lineRule="auto"/>
        <w:ind w:firstLine="709"/>
        <w:jc w:val="both"/>
      </w:pPr>
      <w:r>
        <w:rPr>
          <w:rFonts w:ascii="Times New Roman" w:hAnsi="Times New Roman"/>
          <w:sz w:val="24"/>
        </w:rPr>
        <w:t xml:space="preserve">9. </w:t>
      </w:r>
      <w:r>
        <w:rPr>
          <w:rFonts w:ascii="Times New Roman" w:hAnsi="Times New Roman"/>
          <w:sz w:val="24"/>
        </w:rPr>
        <w:t>Brindar los beneficios contractuales y velar por las mejoras de las condiciones laborales y la calidad de vida de los trabajadores.</w:t>
      </w:r>
    </w:p>
    <w:p>
      <w:pPr>
        <w:spacing w:line="360" w:lineRule="auto"/>
        <w:ind w:firstLine="709"/>
        <w:jc w:val="both"/>
      </w:pPr>
      <w:r>
        <w:rPr>
          <w:rFonts w:ascii="Times New Roman" w:hAnsi="Times New Roman"/>
          <w:sz w:val="24"/>
        </w:rPr>
        <w:t xml:space="preserve">10. </w:t>
      </w:r>
      <w:r>
        <w:rPr>
          <w:rFonts w:ascii="Times New Roman" w:hAnsi="Times New Roman"/>
          <w:sz w:val="24"/>
        </w:rPr>
        <w:t>Producir el máximo beneficio posible para sus accionistas, trabajadores, comunidades vecinas y clientes.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2" name="Picture 2"/>
            <wp:cNvGraphicFramePr>
              <a:graphicFrameLocks noChangeAspect="1"/>
            </wp:cNvGraphicFramePr>
            <a:graphic>
              <a:graphicData uri="http://schemas.openxmlformats.org/drawingml/2006/picture">
                <pic:pic>
                  <pic:nvPicPr>
                    <pic:cNvPr id="0" name="mapa.png"/>
                    <pic:cNvPicPr/>
                  </pic:nvPicPr>
                  <pic:blipFill>
                    <a:blip r:embed="rId10"/>
                    <a:stretch>
                      <a:fillRect/>
                    </a:stretch>
                  </pic:blipFill>
                  <pic:spPr>
                    <a:xfrm>
                      <a:off x="0" y="0"/>
                      <a:ext cx="3960000" cy="2482717"/>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Referencia cartográfica de la ubicación de las oficinas administrativas de Venangocupet, S.A.</w:t>
      </w:r>
      <w:bookmarkEnd w:id="bm_grafico2"/>
    </w:p>
    <w:p>
      <w:pPr>
        <w:spacing w:before="0" w:after="240"/>
        <w:jc w:val="center"/>
      </w:pPr>
      <w:r>
        <w:rPr>
          <w:rFonts w:ascii="Times New Roman" w:hAnsi="Times New Roman"/>
          <w:i/>
          <w:sz w:val="24"/>
        </w:rPr>
        <w:t xml:space="preserve">Fuente: </w:t>
      </w:r>
      <w:r>
        <w:rPr>
          <w:rFonts w:ascii="Times New Roman" w:hAnsi="Times New Roman"/>
          <w:sz w:val="24"/>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Presidente</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Secretaría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bl>
    <w:p>
      <w:pPr>
        <w:spacing w:before="120"/>
      </w:pPr>
      <w:r>
        <w:rPr>
          <w:rFonts w:ascii="Times New Roman" w:hAnsi="Times New Roman"/>
          <w:i/>
          <w:sz w:val="16"/>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spacing w:before="480"/>
        <w:jc w:val="center"/>
      </w:pPr>
      <w:r>
        <w:drawing>
          <wp:inline xmlns:a="http://schemas.openxmlformats.org/drawingml/2006/main" xmlns:pic="http://schemas.openxmlformats.org/drawingml/2006/picture">
            <wp:extent cx="4320000" cy="3674391"/>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4320000" cy="3674391"/>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Venangocupet, S.A.</w:t>
      </w:r>
      <w:bookmarkEnd w:id="bm_grafico3"/>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before="480"/>
        <w:jc w:val="center"/>
      </w:pPr>
      <w:r>
        <w:drawing>
          <wp:inline xmlns:a="http://schemas.openxmlformats.org/drawingml/2006/main" xmlns:pic="http://schemas.openxmlformats.org/drawingml/2006/picture">
            <wp:extent cx="4320000" cy="2881208"/>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2881208"/>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Presidencia.</w:t>
      </w:r>
      <w:bookmarkEnd w:id="bm_grafico4"/>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8"/>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las unidades administrativas vinculadas con la alta dirección, la gestión documental exige registrar con precisión el recorrido de expedientes que requieren revisión, validación, firma y posterior canalización hacia otras dependencias. La ausencia de herramientas que centralicen el seguimiento puede dificultar la consulta inmediata del estado de cada documento y la preparación de reportes gerenciales cuando coinciden varios movimientos en un mismo período.</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la relación entre procesos y documentos,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desarrollo del sistema automatizado.</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40"/>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Desde la perspectiva del autor, el sistema desarrollado debe priorizar información confiable y oportuna para apoyar el control de los movimientos documentales de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Su funcionamiento se basa en un único archivo que aloja el esquema y los registros de la base de datos, reduciendo la complejidad de administración para aplicaciones locales.</w:t>
      </w:r>
    </w:p>
    <w:p>
      <w:pPr>
        <w:spacing w:line="360" w:lineRule="auto" w:after="0" w:before="0"/>
        <w:ind w:firstLine="709"/>
        <w:jc w:val="both"/>
      </w:pPr>
      <w:r>
        <w:rPr>
          <w:rFonts w:ascii="Times New Roman" w:hAnsi="Times New Roman"/>
          <w:i w:val="0"/>
          <w:sz w:val="24"/>
        </w:rPr>
        <w:t>Pressman (2010) señala que la selección de herramientas tecnológicas debe considerar las características del entorno de despliegue y los requerimientos reales de la solución. Para el prototipo desarrollado en el Departamento de Presidencia, SQLite permite gestionar las relaciones entre procesos y documentos, conservar el historial de movimientos y ejecutar consultas sin incorporar una infraestructura adicional de servidor.</w:t>
      </w:r>
    </w:p>
    <w:p>
      <w:pPr>
        <w:spacing w:line="360" w:lineRule="auto" w:after="0" w:before="0"/>
        <w:ind w:firstLine="709"/>
        <w:jc w:val="both"/>
      </w:pPr>
      <w:r>
        <w:rPr>
          <w:rFonts w:ascii="Times New Roman" w:hAnsi="Times New Roman"/>
          <w:i w:val="0"/>
          <w:sz w:val="24"/>
        </w:rPr>
        <w:t>La selección de SQLite se fundamenta en su portabilidad, sencillez de despliegue y capacidad para mantener la información del prototipo en un archivo relacional único, características adecuadas para una aplicación de escritorio de alcance departamental.</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autor, automatizar el registro y los reportes permite disminuir tareas repetitivas y dedicar mayor atención a la revisión y canalización de los expedientes.</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resulta compatible con el trabajo realizado porque el diagnóstico del flujo documental condujo al diseño, construcción y validación de un prototipo orientado a una necesidad concreta del Departamento de Presidencia.</w:t>
      </w:r>
    </w:p>
    <w:p>
      <w:pPr>
        <w:sectPr>
          <w:footerReference w:type="default" r:id="rId4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2"/>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actividades operativas propias del Departamento de Presidencia y actividades técnicas vinculadas con el diagnóstico, diseño, implementación y validación del sistema automatizado:</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del área administrativa, presentación del equipo de trabajo y revisión de los lineamientos generales de funcionamiento del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real de los documentos en Presidencia, identificación de fallas en el registro manual y levantamiento inicial de los datos requeridos para la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Clasificación y registro manual de expedientes físicos en la hoja de cálculo utilizada por la oficina, con actualización de los movimientos correspondientes a los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normalización del esquema propuesto y elaboración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de control de la oficina, apoyando el seguimiento de los documentos recibidos y despachados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Implementación de la estructura relacional en SQLite, carga de registros de prueba, construcción de formularios de captura y programación de consultas de trazabilidad.</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junto con labores regulares de registro documental.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estructuración de los módulos de la interfaz y organización del código fuente del prototipo.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después de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Desarrollo de los módulos de consulta e historial de movimientos e integración de la visualización de expedientes asociados a cada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Wails, integración del entorno visual y generación de un ejecutable autónomo para las pruebas funcionales del prototipo.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 partir de los registros disponibles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funcionales, depuración de errores y verificación de los módulos de registro, trazabilidad, consulta e informes utilizando datos de prueba representativos del flujo departamental.</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de Presidencia y apoyo en la organización y seguimiento de los expedientes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de pasantías, elaboración del manual de usuario y organización técnica del código fuente y los entregables del prototipo.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recepción de observaciones y gestión de los recaudos correspondientes al cierre de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del informe académico, incorporación de las observaciones recibidas y preparación de los anexos definitivos para la entrega institucional.</w:t>
      </w:r>
    </w:p>
    <w:p>
      <w:pPr>
        <w:sectPr>
          <w:footerReference w:type="default" r:id="rId43"/>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4"/>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5"/>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6"/>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3960000" cy="4860000"/>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3960000" cy="4860000"/>
                    </a:xfrm>
                    <a:prstGeom prst="rect"/>
                  </pic:spPr>
                </pic:pic>
              </a:graphicData>
            </a:graphic>
          </wp:inline>
        </w:drawing>
      </w:r>
    </w:p>
    <w:sectPr w:rsidR="00FC693F" w:rsidRPr="0006063C" w:rsidSect="00034616">
      <w:footerReference w:type="default" r:id="rId4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 Id="rId42" Type="http://schemas.openxmlformats.org/officeDocument/2006/relationships/footer" Target="footer29.xml"/><Relationship Id="rId43" Type="http://schemas.openxmlformats.org/officeDocument/2006/relationships/footer" Target="footer30.xml"/><Relationship Id="rId44" Type="http://schemas.openxmlformats.org/officeDocument/2006/relationships/footer" Target="footer31.xml"/><Relationship Id="rId45" Type="http://schemas.openxmlformats.org/officeDocument/2006/relationships/footer" Target="footer32.xml"/><Relationship Id="rId46" Type="http://schemas.openxmlformats.org/officeDocument/2006/relationships/footer" Target="footer33.xml"/><Relationship Id="rId47"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