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dentro de la modalidad institucional en el puesto habitual de trabajo y delimitar los tiempos de investigación.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del inicio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la gerencia general y el tutor industrial para consignar los formatos institucionales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Cartas de postulación, plan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Alineación de objetivos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Vincular las metas del proyecto técnico con las funciones contables y de compra que ya ejecuta en su día a día.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 de procesos,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Establecimiento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bloques horarios de la jornada diaria dedicados exclusivamente a la recolección de datos y revisión de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laboral, agenda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metodológica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lineamientos del instituto con el tutor para asegurar el correcto resguardo confidencial de la información empresarial.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IUTECP, documentos internos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Apertura del cuaderno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libreta de registro técnico para documentar los eventos específicos observados durante la jornada.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apuntes, papelería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de pasantías visada por la empresa y cronograma operativo validado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