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27.xml" ContentType="application/vnd.openxmlformats-officedocument.wordprocessingml.footer+xml"/>
  <Override PartName="/word/footer33.xml" ContentType="application/vnd.openxmlformats-officedocument.wordprocessingml.footer+xml"/>
  <Override PartName="/word/footer21.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1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9.xml" ContentType="application/vnd.openxmlformats-officedocument.wordprocessingml.footer+xml"/>
  <Override PartName="/word/footer15.xml" ContentType="application/vnd.openxmlformats-officedocument.wordprocessingml.footer+xml"/>
  <Override PartName="/word/footer73.xml" ContentType="application/vnd.openxmlformats-officedocument.wordprocessingml.footer+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83.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84.xml" ContentType="application/vnd.openxmlformats-officedocument.wordprocessingml.footer+xml"/>
  <Override PartName="/word/footer22.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82.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80.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81.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11.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47" w:after="1242"/>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3158" w:after="0"/>
        <w:jc w:val="end"/>
        <w:rPr/>
      </w:pPr>
      <w:r>
        <w:rPr>
          <w:b/>
          <w:sz w:val="24"/>
        </w:rPr>
        <w:t>Autor:</w:t>
        <w:br/>
        <w:t>Alrifaai Alrifaaie, Amaal</w:t>
        <w:br/>
        <w:t>C.I.: 31.985.792</w:t>
      </w:r>
    </w:p>
    <w:p>
      <w:pPr>
        <w:pStyle w:val="Normal"/>
        <w:spacing w:lineRule="auto" w:line="276" w:before="1579"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Mata, Lenny</w:t>
              <w:br/>
              <w:t>C.I.: 8969750</w:t>
              <w:br/>
              <w:br/>
              <w:t>Tutor Académico:</w:t>
              <w:br/>
              <w:t>Dra. Álvarez, Carmen</w:t>
              <w:br/>
              <w:t>C.I.: 14.452.956</w:t>
            </w:r>
          </w:p>
        </w:tc>
        <w:tc>
          <w:tcPr>
            <w:tcW w:w="4135" w:type="dxa"/>
            <w:tcBorders/>
          </w:tcPr>
          <w:p>
            <w:pPr>
              <w:pStyle w:val="Normal"/>
              <w:spacing w:lineRule="auto" w:line="240"/>
              <w:jc w:val="end"/>
              <w:rPr/>
            </w:pPr>
            <w:r>
              <w:rPr>
                <w:b/>
                <w:sz w:val="24"/>
              </w:rPr>
              <w:t>Autor:</w:t>
              <w:br/>
              <w:t>Alrifaai Alrifaaie, Amaal</w:t>
              <w:br/>
              <w:t>C.I.: 31.985.792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563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563880"/>
                    </a:xfrm>
                    <a:prstGeom prst="rect">
                      <a:avLst/>
                    </a:prstGeom>
                    <a:noFill/>
                  </pic:spPr>
                </pic:pic>
              </a:graphicData>
            </a:graphic>
          </wp:inline>
        </w:drawing>
      </w:r>
    </w:p>
    <w:p>
      <w:pPr>
        <w:pStyle w:val="Normal"/>
        <w:rPr/>
      </w:pPr>
      <w:r>
        <w:rPr/>
      </w:r>
    </w:p>
    <w:p>
      <w:pPr>
        <w:pStyle w:val="Normal"/>
        <w:spacing w:lineRule="auto" w:line="360"/>
        <w:jc w:val="center"/>
        <w:rPr/>
      </w:pPr>
      <w:r>
        <w:rPr>
          <w:b/>
          <w:sz w:val="24"/>
        </w:rPr>
        <w:t>Mata, Lenny</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8969750</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Álvarez, Carmen</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Normal"/>
        <w:spacing w:before="1140" w:after="480"/>
        <w:jc w:val="center"/>
        <w:rPr/>
      </w:pPr>
      <w:bookmarkStart w:id="3" w:name="bm_agradecimientos"/>
      <w:r>
        <w:rPr>
          <w:b/>
          <w:sz w:val="24"/>
        </w:rPr>
        <w:t>AGRADECIMIENTOS</w:t>
      </w:r>
      <w:bookmarkEnd w:id="3"/>
    </w:p>
    <w:p>
      <w:p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Al Instituto Universitario de Tecnología “Elías Calixto Pompa” (IUTECP), por la formación recibida; a Ingeniería de Telecomunicaciones, C.A. (IDETEL), por permitirme desarrollar las pasantías y conocer de manera directa sus procesos de atención y administración; a mis tutores, por sus orientaciones y observaciones durante la elaboración del informe; y al personal de la empresa, por su disposición, acompañamiento y colaboración durante las actividades realizadas.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4" w:name="bm_dedicatoria"/>
      <w:r>
        <w:rPr>
          <w:b/>
          <w:sz w:val="24"/>
        </w:rPr>
        <w:t>DEDICATORIA</w:t>
      </w:r>
      <w:bookmarkEnd w:id="4"/>
    </w:p>
    <w:p>
      <w:p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360" w:before="0" w:after="0"/>
        <w:ind w:firstLine="709"/>
        <w:jc w:val="both"/>
        <w:rPr/>
      </w:pPr>
      <w:r>
        <w:rPr>
          <w:i w:val="false"/>
          <w:sz w:val="24"/>
        </w:rPr>
        <w:t>A mi familia, por su apoyo constante, comprensión y motivación durante mi formación académica y en el desarrollo de esta etapa profesional.</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5" w:name="bm_indice"/>
      <w:r>
        <w:rPr>
          <w:b/>
          <w:sz w:val="24"/>
        </w:rPr>
        <w:t>ÍNDICE DE CONTENIDO</w:t>
      </w:r>
      <w:bookmarkEnd w:id="5"/>
    </w:p>
    <w:p>
      <w:p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before="0" w:after="240"/>
        <w:jc w:val="end"/>
        <w:rPr/>
      </w:pPr>
      <w:r>
        <w:rPr>
          <w:b/>
          <w:sz w:val="24"/>
        </w:rPr>
        <w:t>pp.</w:t>
      </w:r>
    </w:p>
    <w:p>
      <w:pPr>
        <w:pStyle w:val="Normal"/>
        <w:tabs>
          <w:tab w:val="clear" w:pos="720"/>
          <w:tab w:val="right" w:pos="8271" w:leader="dot"/>
        </w:tabs>
        <w:spacing w:lineRule="auto" w:line="360" w:before="0" w:after="80"/>
        <w:ind w:start="0"/>
        <w:rPr/>
      </w:pPr>
      <w:r>
        <w:rPr>
          <w:b w:val="false"/>
          <w:sz w:val="24"/>
        </w:rPr>
        <w:t>CONTRAPORTADA</w:t>
        <w:tab/>
        <w:t>ii</w:t>
      </w:r>
    </w:p>
    <w:p>
      <w:pPr>
        <w:pStyle w:val="Normal"/>
        <w:tabs>
          <w:tab w:val="clear" w:pos="720"/>
          <w:tab w:val="right" w:pos="8271" w:leader="dot"/>
        </w:tabs>
        <w:spacing w:lineRule="auto" w:line="360" w:before="0" w:after="80"/>
        <w:ind w:start="0"/>
        <w:rPr/>
      </w:pPr>
      <w:r>
        <w:rPr>
          <w:b w:val="false"/>
          <w:sz w:val="24"/>
        </w:rPr>
        <w:t>APROBACIÓN DEL TUTOR INDUSTRIAL</w:t>
        <w:tab/>
        <w:t>iii</w:t>
      </w:r>
    </w:p>
    <w:p>
      <w:pPr>
        <w:pStyle w:val="Normal"/>
        <w:tabs>
          <w:tab w:val="clear" w:pos="720"/>
          <w:tab w:val="right" w:pos="8271" w:leader="dot"/>
        </w:tabs>
        <w:spacing w:lineRule="auto" w:line="360" w:before="0" w:after="80"/>
        <w:ind w:start="0"/>
        <w:rPr/>
      </w:pPr>
      <w:r>
        <w:rPr>
          <w:b w:val="false"/>
          <w:sz w:val="24"/>
        </w:rPr>
        <w:t>APROBACIÓN DEL TUTOR ACADÉMICO</w:t>
        <w:tab/>
        <w:t>iv</w:t>
      </w:r>
    </w:p>
    <w:p>
      <w:pPr>
        <w:pStyle w:val="Normal"/>
        <w:tabs>
          <w:tab w:val="clear" w:pos="720"/>
          <w:tab w:val="right" w:pos="8271" w:leader="dot"/>
        </w:tabs>
        <w:spacing w:lineRule="auto" w:line="360" w:before="0" w:after="80"/>
        <w:ind w:start="0"/>
        <w:rPr/>
      </w:pPr>
      <w:r>
        <w:rPr>
          <w:b w:val="false"/>
          <w:sz w:val="24"/>
        </w:rPr>
        <w:t>AGRADECIMIENTOS</w:t>
        <w:tab/>
        <w:t>v</w:t>
      </w:r>
    </w:p>
    <w:p>
      <w:pPr>
        <w:pStyle w:val="Normal"/>
        <w:tabs>
          <w:tab w:val="clear" w:pos="720"/>
          <w:tab w:val="right" w:pos="8271" w:leader="dot"/>
        </w:tabs>
        <w:spacing w:lineRule="auto" w:line="360" w:before="0" w:after="80"/>
        <w:ind w:start="0"/>
        <w:rPr/>
      </w:pPr>
      <w:r>
        <w:rPr>
          <w:b w:val="false"/>
          <w:sz w:val="24"/>
        </w:rPr>
        <w:t>DEDICATORIA</w:t>
        <w:tab/>
        <w:t>vi</w:t>
      </w:r>
    </w:p>
    <w:p>
      <w:pPr>
        <w:pStyle w:val="Normal"/>
        <w:tabs>
          <w:tab w:val="clear" w:pos="720"/>
          <w:tab w:val="right" w:pos="8271" w:leader="dot"/>
        </w:tabs>
        <w:spacing w:lineRule="auto" w:line="360" w:before="0" w:after="80"/>
        <w:ind w:start="0"/>
        <w:rPr/>
      </w:pPr>
      <w:r>
        <w:rPr>
          <w:b w:val="false"/>
          <w:sz w:val="24"/>
        </w:rPr>
        <w:t>LISTA DE CUADROS</w:t>
        <w:tab/>
        <w:t>ix</w:t>
      </w:r>
    </w:p>
    <w:p>
      <w:pPr>
        <w:pStyle w:val="Normal"/>
        <w:tabs>
          <w:tab w:val="clear" w:pos="720"/>
          <w:tab w:val="right" w:pos="8271" w:leader="dot"/>
        </w:tabs>
        <w:spacing w:lineRule="auto" w:line="360" w:before="0" w:after="80"/>
        <w:ind w:start="0"/>
        <w:rPr/>
      </w:pPr>
      <w:r>
        <w:rPr>
          <w:b w:val="false"/>
          <w:sz w:val="24"/>
        </w:rPr>
        <w:t>LISTA DE GRÁFICOS</w:t>
        <w:tab/>
        <w:t>x</w:t>
      </w:r>
    </w:p>
    <w:p>
      <w:pPr>
        <w:pStyle w:val="Normal"/>
        <w:tabs>
          <w:tab w:val="clear" w:pos="720"/>
          <w:tab w:val="right" w:pos="8271" w:leader="dot"/>
        </w:tabs>
        <w:spacing w:lineRule="auto" w:line="360" w:before="0" w:after="80"/>
        <w:ind w:start="0"/>
        <w:rPr/>
      </w:pPr>
      <w:r>
        <w:rPr>
          <w:b w:val="false"/>
          <w:sz w:val="24"/>
        </w:rPr>
        <w:t>LISTA DE ANEXOS</w:t>
        <w:tab/>
        <w:t>xi</w:t>
      </w:r>
    </w:p>
    <w:p>
      <w:pPr>
        <w:pStyle w:val="Normal"/>
        <w:tabs>
          <w:tab w:val="clear" w:pos="720"/>
          <w:tab w:val="right" w:pos="8271" w:leader="dot"/>
        </w:tabs>
        <w:spacing w:lineRule="auto" w:line="360" w:before="0" w:after="80"/>
        <w:ind w:start="0"/>
        <w:rPr/>
      </w:pPr>
      <w:r>
        <w:rPr>
          <w:b w:val="false"/>
          <w:sz w:val="24"/>
        </w:rPr>
        <w:t>RESUMEN</w:t>
        <w:tab/>
        <w:t>xii</w:t>
      </w:r>
    </w:p>
    <w:p>
      <w:pPr>
        <w:pStyle w:val="Normal"/>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spacing w:before="240" w:after="120"/>
        <w:rPr/>
      </w:pPr>
      <w:r>
        <w:rPr>
          <w:b/>
        </w:rPr>
        <w:t>CAPÍTULOS</w:t>
      </w:r>
    </w:p>
    <w:p>
      <w:pPr>
        <w:pStyle w:val="Normal"/>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Estructura organizacional de la empresa (organigrama)</w:t>
        <w:tab/>
      </w:r>
      <w:r>
        <w:rPr/>
        <w:fldChar w:fldCharType="begin"/>
      </w:r>
      <w:r>
        <w:rPr/>
        <w:instrText xml:space="preserve"> PAGEREF bm_cap1_estruct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Cronograma de actividades</w:t>
        <w:tab/>
      </w:r>
      <w:r>
        <w:rPr/>
        <w:fldChar w:fldCharType="begin"/>
      </w:r>
      <w:r>
        <w:rPr/>
        <w:instrText xml:space="preserve"> PAGEREF bm_cap2_crono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tabs>
          <w:tab w:val="clear" w:pos="720"/>
          <w:tab w:val="right" w:pos="8271" w:leader="dot"/>
        </w:tabs>
        <w:spacing w:lineRule="auto" w:line="360" w:before="0" w:after="0"/>
        <w:ind w:start="0"/>
        <w:rPr/>
      </w:pPr>
      <w:r>
        <w:rPr>
          <w:b/>
          <w:sz w:val="24"/>
        </w:rPr>
        <w:t>ANEXOS</w:t>
        <w:tab/>
      </w:r>
      <w:r>
        <w:rPr/>
        <w:fldChar w:fldCharType="begin"/>
      </w:r>
      <w:r>
        <w:rPr/>
        <w:instrText xml:space="preserve"> PAGEREF bm_anexos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6" w:name="bm_lista_cuadros"/>
      <w:r>
        <w:rPr>
          <w:b/>
          <w:sz w:val="24"/>
        </w:rPr>
        <w:t>LISTA DE CUADROS</w:t>
      </w:r>
      <w:bookmarkEnd w:id="6"/>
    </w:p>
    <w:p>
      <w:p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CUADRO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Planificación integral de objetivos específicos</w:t>
        <w:tab/>
      </w:r>
      <w:r>
        <w:rPr/>
        <w:fldChar w:fldCharType="begin"/>
      </w:r>
      <w:r>
        <w:rPr/>
        <w:instrText xml:space="preserve"> PAGEREF bm_cuadro1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2</w:t>
        <w:tab/>
        <w:t>Cronograma de actividades de la pasantía</w:t>
        <w:tab/>
      </w:r>
      <w:r>
        <w:rPr/>
        <w:fldChar w:fldCharType="begin"/>
      </w:r>
      <w:r>
        <w:rPr/>
        <w:instrText xml:space="preserve"> PAGEREF bm_cuadro2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7" w:name="bm_lista_graficos"/>
      <w:r>
        <w:rPr>
          <w:b/>
          <w:sz w:val="24"/>
        </w:rPr>
        <w:t>LISTA DE GRÁFICOS</w:t>
      </w:r>
      <w:bookmarkEnd w:id="7"/>
    </w:p>
    <w:p>
      <w:p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GRÁFICO</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1</w:t>
        <w:tab/>
        <w:t>Logotipo de Ingeniería de Telecomunicaciones, C.A.</w:t>
        <w:tab/>
      </w:r>
      <w:r>
        <w:rPr/>
        <w:fldChar w:fldCharType="begin"/>
      </w:r>
      <w:r>
        <w:rPr/>
        <w:instrText xml:space="preserve"> PAGEREF bm_grafico1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Ingeniería de Telecomunicaciones, C.A.</w:t>
        <w:tab/>
      </w:r>
      <w:r>
        <w:rPr/>
        <w:fldChar w:fldCharType="begin"/>
      </w:r>
      <w:r>
        <w:rPr/>
        <w:instrText xml:space="preserve"> PAGEREF bm_grafico2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Ingeniería de Telecomunicaciones, C.A.</w:t>
        <w:tab/>
      </w:r>
      <w:r>
        <w:rPr/>
        <w:fldChar w:fldCharType="begin"/>
      </w:r>
      <w:r>
        <w:rPr/>
        <w:instrText xml:space="preserve"> PAGEREF bm_grafico3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4</w:t>
        <w:tab/>
        <w:t>Organigrama del Departamento de Administración.</w:t>
        <w:tab/>
      </w:r>
      <w:r>
        <w:rPr/>
        <w:fldChar w:fldCharType="begin"/>
      </w:r>
      <w:r>
        <w:rPr/>
        <w:instrText xml:space="preserve"> PAGEREF bm_grafico4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8" w:name="bm_lista_anexos"/>
      <w:r>
        <w:rPr>
          <w:b/>
          <w:sz w:val="24"/>
        </w:rPr>
        <w:t>LISTA DE ANEXOS</w:t>
      </w:r>
      <w:bookmarkEnd w:id="8"/>
    </w:p>
    <w:p>
      <w:p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tabs>
          <w:tab w:val="clear" w:pos="720"/>
          <w:tab w:val="right" w:pos="8271" w:leader="none"/>
        </w:tabs>
        <w:spacing w:before="240" w:after="240"/>
        <w:rPr/>
      </w:pPr>
      <w:r>
        <w:rPr>
          <w:b/>
          <w:sz w:val="24"/>
        </w:rPr>
        <w:t>ANEXOS</w:t>
      </w:r>
      <w:r>
        <w:rPr/>
        <w:tab/>
      </w:r>
      <w:r>
        <w:rPr>
          <w:b/>
          <w:sz w:val="24"/>
        </w:rPr>
        <w:t>pp.</w:t>
      </w:r>
    </w:p>
    <w:p>
      <w:pPr>
        <w:pStyle w:val="Normal"/>
        <w:tabs>
          <w:tab w:val="clear" w:pos="720"/>
          <w:tab w:val="left" w:pos="1020" w:leader="none"/>
          <w:tab w:val="right" w:pos="8271" w:leader="dot"/>
        </w:tabs>
        <w:spacing w:lineRule="auto" w:line="360" w:before="0" w:after="80"/>
        <w:ind w:hanging="1020" w:start="1020"/>
        <w:rPr/>
      </w:pPr>
      <w:r>
        <w:rPr>
          <w:sz w:val="24"/>
        </w:rPr>
        <w:t>A</w:t>
        <w:tab/>
        <w:t>Flujograma del proceso propuesto de gestión de solicitudes de servicios</w:t>
        <w:tab/>
      </w:r>
      <w:r>
        <w:rPr/>
        <w:fldChar w:fldCharType="begin"/>
      </w:r>
      <w:r>
        <w:rPr/>
        <w:instrText xml:space="preserve"> PAGEREF bm_anexoA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B</w:t>
        <w:tab/>
        <w:t>Diagrama de Ishikawa del control de solicitudes</w:t>
        <w:tab/>
      </w:r>
      <w:r>
        <w:rPr/>
        <w:fldChar w:fldCharType="begin"/>
      </w:r>
      <w:r>
        <w:rPr/>
        <w:instrText xml:space="preserve"> PAGEREF bm_anexoB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C</w:t>
        <w:tab/>
        <w:t>Flujograma AS-IS de afiliaciones e incidencias</w:t>
        <w:tab/>
      </w:r>
      <w:r>
        <w:rPr/>
        <w:fldChar w:fldCharType="begin"/>
      </w:r>
      <w:r>
        <w:rPr/>
        <w:instrText xml:space="preserve"> PAGEREF bm_anexoC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D</w:t>
        <w:tab/>
        <w:t>Swimlane interdepartamental de gestión de solicitudes</w:t>
        <w:tab/>
      </w:r>
      <w:r>
        <w:rPr/>
        <w:fldChar w:fldCharType="begin"/>
      </w:r>
      <w:r>
        <w:rPr/>
        <w:instrText xml:space="preserve"> PAGEREF bm_anexoD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E</w:t>
        <w:tab/>
        <w:t>Estados de una solicitud de servicio</w:t>
        <w:tab/>
      </w:r>
      <w:r>
        <w:rPr/>
        <w:fldChar w:fldCharType="begin"/>
      </w:r>
      <w:r>
        <w:rPr/>
        <w:instrText xml:space="preserve"> PAGEREF bm_anexoE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F</w:t>
        <w:tab/>
        <w:t>Comunicación interdepartamental</w:t>
        <w:tab/>
      </w:r>
      <w:r>
        <w:rPr/>
        <w:fldChar w:fldCharType="begin"/>
      </w:r>
      <w:r>
        <w:rPr/>
        <w:instrText xml:space="preserve"> PAGEREF bm_anexoF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G</w:t>
        <w:tab/>
        <w:t>Comparación AS-IS y TO-BE del control de solicitudes</w:t>
        <w:tab/>
      </w:r>
      <w:r>
        <w:rPr/>
        <w:fldChar w:fldCharType="begin"/>
      </w:r>
      <w:r>
        <w:rPr/>
        <w:instrText xml:space="preserve"> PAGEREF bm_anexoG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80"/>
        <w:ind w:hanging="1020" w:start="1020"/>
        <w:rPr/>
      </w:pPr>
      <w:r>
        <w:rPr>
          <w:sz w:val="24"/>
        </w:rPr>
        <w:t>H</w:t>
        <w:tab/>
        <w:t>Diagrama de Ishikawa del control y trazabilidad de las solicitudes de servicio</w:t>
        <w:tab/>
      </w:r>
      <w:r>
        <w:rPr/>
        <w:fldChar w:fldCharType="begin"/>
      </w:r>
      <w:r>
        <w:rPr/>
        <w:instrText xml:space="preserve"> PAGEREF bm_anexoH \h </w:instrText>
      </w:r>
      <w:r>
        <w:rPr/>
        <w:fldChar w:fldCharType="separate"/>
      </w:r>
      <w:r>
        <w:rPr/>
        <w:t>?</w:t>
      </w:r>
      <w:r>
        <w:rPr/>
        <w:fldChar w:fldCharType="end"/>
      </w:r>
    </w:p>
    <w:p>
      <w:pPr>
        <w:pStyle w:val="Normal"/>
        <w:tabs>
          <w:tab w:val="clear" w:pos="720"/>
          <w:tab w:val="left" w:pos="1020" w:leader="none"/>
          <w:tab w:val="right" w:pos="8271" w:leader="dot"/>
        </w:tabs>
        <w:spacing w:lineRule="auto" w:line="360" w:before="0" w:after="0"/>
        <w:ind w:hanging="1020" w:start="1020"/>
        <w:rPr/>
      </w:pPr>
      <w:r>
        <w:rPr>
          <w:sz w:val="24"/>
        </w:rPr>
        <w:t>I</w:t>
        <w:tab/>
        <w:t>Memoria fotográfica de las actividades realizadas</w:t>
        <w:tab/>
      </w:r>
      <w:r>
        <w:rPr/>
        <w:fldChar w:fldCharType="begin"/>
      </w:r>
      <w:r>
        <w:rPr/>
        <w:instrText xml:space="preserve"> PAGEREF bm_anexoI \h </w:instrText>
      </w:r>
      <w:r>
        <w:rPr/>
        <w:fldChar w:fldCharType="separate"/>
      </w:r>
      <w:r>
        <w:rPr/>
        <w:t>?</w:t>
      </w:r>
      <w:r>
        <w:rPr/>
        <w:fldChar w:fldCharType="end"/>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rPr/>
      </w:pPr>
      <w:r>
        <w:rPr/>
      </w:r>
    </w:p>
    <w:p>
      <w:pPr>
        <w:pStyle w:val="Normal"/>
        <w:spacing w:lineRule="auto" w:line="240" w:before="0" w:after="120"/>
        <w:jc w:val="center"/>
        <w:rPr/>
      </w:pPr>
      <w:r>
        <w:rPr>
          <w:b/>
          <w:sz w:val="24"/>
        </w:rPr>
        <w:t>EVALUACIÓN DEL CONTROL ADMINISTRATIVO APLICADO A LA GESTIÓN DE SOLICITUDES DE SERVICIOS DE TELECOMUNICACIONES EN LA EMPRESA INGENIERÍA DE TELECOMUNICACIONES, C.A.</w:t>
      </w:r>
    </w:p>
    <w:p>
      <w:pPr>
        <w:pStyle w:val="Normal"/>
        <w:spacing w:lineRule="auto" w:line="240" w:before="0" w:after="120"/>
        <w:ind w:start="0"/>
        <w:jc w:val="end"/>
        <w:rPr/>
      </w:pPr>
      <w:r>
        <w:rPr>
          <w:b/>
          <w:sz w:val="24"/>
        </w:rPr>
        <w:t>Autor:</w:t>
        <w:br/>
      </w:r>
      <w:r>
        <w:rPr>
          <w:sz w:val="24"/>
        </w:rPr>
        <w:t>Alrifaai Alrifaaie, Amaal</w:t>
        <w:br/>
        <w:t>C.I.: 31.985.792</w:t>
        <w:br/>
        <w:t>agosto de 2026</w:t>
      </w:r>
    </w:p>
    <w:p>
      <w:pPr>
        <w:pStyle w:val="Normal"/>
        <w:spacing w:lineRule="auto" w:line="240" w:before="120" w:after="120"/>
        <w:jc w:val="center"/>
        <w:rPr/>
      </w:pPr>
      <w:bookmarkStart w:id="9" w:name="bm_resumen"/>
      <w:r>
        <w:rPr>
          <w:b/>
          <w:sz w:val="24"/>
        </w:rPr>
        <w:t>RESUMEN</w:t>
      </w:r>
      <w:bookmarkEnd w:id="9"/>
    </w:p>
    <w:p>
      <w:p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p>
    <w:p>
      <w:pPr>
        <w:pStyle w:val="Normal"/>
        <w:spacing w:lineRule="auto" w:line="240" w:before="0" w:after="0"/>
        <w:ind w:firstLine="709"/>
        <w:jc w:val="both"/>
        <w:rPr/>
      </w:pPr>
      <w:r>
        <w:rPr>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de manera oportuna los responsables, tiempos de respuesta y estatus de cada caso. El objetivo general fue evaluar el control administrativo aplicado a la gestión de solicitudes de servicios de telecomunicaciones, con el propósito de identificar sus debilidades y formular mejoras procedimentales. Para ello se realizaron observaciones directas, revisión de registros, entrevistas estructuradas al personal y un diagrama de causa-efecto para organizar los factores vinculados con las fallas detectadas. A partir de los hallazgos se formularon mejoras orientadas a establecer un flujo estandarizado, definir responsables por etapa, utilizar formatos uniformes y aplicar indicadores básicos para el seguimiento de las solicitudes. Como resultado, se determinó que la formalización del recorrido y la centralización de la información pueden facilitar la trazabilidad y reducir los reprocesos administrativos. Se concluye que el fortalecimiento del control depende principalmente de establecer criterios comunes de registro, actualización y cierre de los casos. Se recomienda implementar progresivamente el procedimiento propuesto, comunicarlo al personal involucrado y revisar periódicamente los tiempos de respuesta y solicitudes pendientes para detectar desviaciones y oportunidades de mejora.</w:t>
      </w:r>
    </w:p>
    <w:p>
      <w:pPr>
        <w:pStyle w:val="Normal"/>
        <w:rPr/>
      </w:pPr>
      <w:r>
        <w:rPr/>
      </w:r>
    </w:p>
    <w:p>
      <w:pPr>
        <w:pStyle w:val="Normal"/>
        <w:spacing w:lineRule="auto" w:line="240" w:before="0" w:after="0"/>
        <w:ind w:firstLine="709"/>
        <w:rPr/>
      </w:pPr>
      <w:r>
        <w:rPr>
          <w:b/>
          <w:sz w:val="24"/>
        </w:rPr>
        <w:t xml:space="preserve">Palabras claves: </w:t>
      </w:r>
      <w:r>
        <w:rPr>
          <w:sz w:val="24"/>
        </w:rPr>
        <w:t>control administrativo, solicitudes de servicio, trazabilidad, telecomunicaciones, pasantías</w:t>
      </w:r>
    </w:p>
    <w:p>
      <w:pPr>
        <w:sectPr>
          <w:type w:val="continuous"/>
          <w:pgSz w:w="12240" w:h="15840"/>
          <w:pgMar w:left="2268" w:right="1701" w:gutter="0" w:header="0" w:top="1701" w:footer="720" w:bottom="1701"/>
          <w:formProt w:val="false"/>
          <w:textDirection w:val="lrTb"/>
          <w:docGrid w:type="default" w:linePitch="360" w:charSpace="0"/>
        </w:sectPr>
      </w:pPr>
    </w:p>
    <w:p>
      <w:pPr>
        <w:pStyle w:val="Normal"/>
        <w:spacing w:before="1140" w:after="480"/>
        <w:jc w:val="center"/>
        <w:rPr/>
      </w:pPr>
      <w:bookmarkStart w:id="10" w:name="bm_introduccion"/>
      <w:r>
        <w:rPr>
          <w:b/>
          <w:sz w:val="24"/>
        </w:rPr>
        <w:t>INTRODUCCIÓN</w:t>
      </w:r>
      <w:bookmarkEnd w:id="10"/>
    </w:p>
    <w:p>
      <w:p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p>
    <w:p>
      <w:pPr>
        <w:pStyle w:val="Normal"/>
        <w:spacing w:lineRule="auto" w:line="360" w:before="0" w:after="0"/>
        <w:ind w:firstLine="709"/>
        <w:jc w:val="both"/>
        <w:rPr/>
      </w:pPr>
      <w:r>
        <w:rPr>
          <w:i w:val="false"/>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pStyle w:val="Normal"/>
        <w:spacing w:lineRule="auto" w:line="360" w:before="0" w:after="0"/>
        <w:ind w:firstLine="709"/>
        <w:jc w:val="both"/>
        <w:rPr/>
      </w:pPr>
      <w:r>
        <w:rPr>
          <w:i w:val="false"/>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pStyle w:val="Normal"/>
        <w:spacing w:lineRule="auto" w:line="360" w:before="0" w:after="0"/>
        <w:ind w:firstLine="709"/>
        <w:jc w:val="both"/>
        <w:rPr/>
      </w:pPr>
      <w:r>
        <w:rPr>
          <w:i w:val="false"/>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pStyle w:val="Normal"/>
        <w:spacing w:lineRule="auto" w:line="360" w:before="0" w:after="0"/>
        <w:ind w:firstLine="709"/>
        <w:jc w:val="both"/>
        <w:rPr/>
      </w:pPr>
      <w:r>
        <w:rPr>
          <w:i w:val="false"/>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w:t>
      </w:r>
    </w:p>
    <w:p>
      <w:pPr>
        <w:pStyle w:val="Normal"/>
        <w:spacing w:before="480" w:after="0"/>
        <w:jc w:val="center"/>
        <w:rPr/>
      </w:pPr>
      <w:bookmarkStart w:id="11" w:name="bm_cap1"/>
      <w:r>
        <w:rPr>
          <w:b/>
          <w:sz w:val="24"/>
        </w:rPr>
        <w:t>REALIDAD ORGANIZACIONAL</w:t>
      </w:r>
      <w:bookmarkEnd w:id="11"/>
    </w:p>
    <w:p>
      <w:pPr>
        <w:sectPr>
          <w:footerReference w:type="even" r:id="rId41"/>
          <w:footerReference w:type="default" r:id="rId42"/>
          <w:footerReference w:type="first" r:id="rId43"/>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center"/>
        <w:rPr/>
      </w:pPr>
      <w:bookmarkStart w:id="12" w:name="bm_cap1_ident"/>
      <w:r>
        <w:rPr>
          <w:b/>
          <w:sz w:val="24"/>
        </w:rPr>
        <w:t>Identificación de la empresa</w:t>
      </w:r>
      <w:bookmarkEnd w:id="12"/>
    </w:p>
    <w:p>
      <w:pPr>
        <w:pStyle w:val="Normal"/>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Ingeniería de Telecomunicaciones, C.A. (IDETEL / INTELCA)</w:t>
      </w:r>
    </w:p>
    <w:p>
      <w:pPr>
        <w:pStyle w:val="Normal"/>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pStyle w:val="Normal"/>
        <w:spacing w:lineRule="auto" w:line="360" w:before="0" w:after="0"/>
        <w:ind w:firstLine="709"/>
        <w:jc w:val="both"/>
        <w:rPr/>
      </w:pPr>
      <w:r>
        <w:rPr>
          <w:i w:val="false"/>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pStyle w:val="Normal"/>
        <w:spacing w:lineRule="auto" w:line="360" w:before="0" w:after="0"/>
        <w:ind w:firstLine="709"/>
        <w:jc w:val="both"/>
        <w:rPr/>
      </w:pPr>
      <w:r>
        <w:rPr>
          <w:i w:val="false"/>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pPr>
        <w:pStyle w:val="Normal"/>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pPr>
        <w:pStyle w:val="Normal"/>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pPr>
        <w:pStyle w:val="Normal"/>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Confiabilidad: </w:t>
      </w:r>
      <w:r>
        <w:rPr>
          <w:sz w:val="24"/>
        </w:rPr>
        <w:t>Compromiso de entregar soluciones tecnológicas robustas que cumplan con los más altos estándares técnicos y de ingeniería para garantizar operaciones continuas y seguras.</w:t>
      </w:r>
    </w:p>
    <w:p>
      <w:pPr>
        <w:pStyle w:val="Normal"/>
        <w:spacing w:lineRule="auto" w:line="360"/>
        <w:ind w:firstLine="709"/>
        <w:jc w:val="both"/>
        <w:rPr/>
      </w:pPr>
      <w:r>
        <w:rPr>
          <w:sz w:val="24"/>
        </w:rPr>
        <w:t xml:space="preserve">2. </w:t>
      </w:r>
      <w:r>
        <w:rPr>
          <w:b/>
          <w:sz w:val="24"/>
        </w:rPr>
        <w:t xml:space="preserve">Innovación y Competitividad: </w:t>
      </w:r>
      <w:r>
        <w:rPr>
          <w:sz w:val="24"/>
        </w:rPr>
        <w:t>Búsqueda constante de actualización y adopción de tecnologías de última generación para sobresalir y liderar el mercado de soluciones inalámbricas y ópticas.</w:t>
      </w:r>
    </w:p>
    <w:p>
      <w:pPr>
        <w:pStyle w:val="Normal"/>
        <w:spacing w:lineRule="auto" w:line="360"/>
        <w:ind w:firstLine="709"/>
        <w:jc w:val="both"/>
        <w:rPr/>
      </w:pPr>
      <w:r>
        <w:rPr>
          <w:sz w:val="24"/>
        </w:rPr>
        <w:t xml:space="preserve">3. </w:t>
      </w:r>
      <w:r>
        <w:rPr>
          <w:b/>
          <w:sz w:val="24"/>
        </w:rPr>
        <w:t xml:space="preserve">Seguridad Laboral e Higiene Ocupacional: </w:t>
      </w:r>
      <w:r>
        <w:rPr>
          <w:sz w:val="24"/>
        </w:rPr>
        <w:t>Aplicación rigurosa de normas de protección e integridad física del personal en cada obra, instalación en campo o infraestructura crítica atendida.</w:t>
      </w:r>
    </w:p>
    <w:p>
      <w:pPr>
        <w:pStyle w:val="Normal"/>
        <w:spacing w:lineRule="auto" w:line="360"/>
        <w:ind w:firstLine="709"/>
        <w:jc w:val="both"/>
        <w:rPr/>
      </w:pPr>
      <w:r>
        <w:rPr>
          <w:sz w:val="24"/>
        </w:rPr>
        <w:t xml:space="preserve">4. </w:t>
      </w:r>
      <w:r>
        <w:rPr>
          <w:b/>
          <w:sz w:val="24"/>
        </w:rPr>
        <w:t xml:space="preserve">Excelencia Técnica: </w:t>
      </w:r>
      <w:r>
        <w:rPr>
          <w:sz w:val="24"/>
        </w:rPr>
        <w:t>Orientación hacia la precisión en los procesos de diseño, empalme por fusión, certificación de redes y asesoría en laboratorio.</w:t>
      </w:r>
    </w:p>
    <w:p>
      <w:pPr>
        <w:pStyle w:val="Normal"/>
        <w:spacing w:lineRule="auto" w:line="360" w:before="480" w:after="480"/>
        <w:jc w:val="start"/>
        <w:rPr/>
      </w:pPr>
      <w:bookmarkStart w:id="17" w:name="bm_cap1_obj"/>
      <w:r>
        <w:rPr>
          <w:b/>
          <w:sz w:val="24"/>
        </w:rPr>
        <w:t>Objetivos Organizacionales</w:t>
      </w:r>
      <w:bookmarkEnd w:id="17"/>
    </w:p>
    <w:p>
      <w:pPr>
        <w:pStyle w:val="Normal"/>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Ejecutar todo género de actividad o prestación de servicios relacionados directa o indirectamente con el ramo de las comunicaciones, computación y la electrónica en general.</w:t>
      </w:r>
    </w:p>
    <w:p>
      <w:pPr>
        <w:pStyle w:val="Normal"/>
        <w:spacing w:lineRule="auto" w:line="360" w:before="480" w:after="480"/>
        <w:jc w:val="start"/>
        <w:rPr/>
      </w:pPr>
      <w:r>
        <w:rPr>
          <w:b/>
          <w:sz w:val="24"/>
        </w:rPr>
        <w:t>Objetivos Específicos</w:t>
      </w:r>
    </w:p>
    <w:p>
      <w:pPr>
        <w:pStyle w:val="Normal"/>
        <w:spacing w:lineRule="auto" w:line="360"/>
        <w:ind w:firstLine="709"/>
        <w:jc w:val="both"/>
        <w:rPr/>
      </w:pPr>
      <w:r>
        <w:rPr>
          <w:sz w:val="24"/>
        </w:rPr>
        <w:t>1. Prestar servicios de importación, manufacturación, asesoría, ventas, instalaciones, arrendamientos, supervisión y mantenimiento en el área de telecomunicaciones.</w:t>
      </w:r>
    </w:p>
    <w:p>
      <w:pPr>
        <w:pStyle w:val="Normal"/>
        <w:spacing w:lineRule="auto" w:line="360"/>
        <w:ind w:firstLine="709"/>
        <w:jc w:val="both"/>
        <w:rPr/>
      </w:pPr>
      <w:r>
        <w:rPr>
          <w:sz w:val="24"/>
        </w:rPr>
        <w:t>2. Representar total o parcialmente cualquier producto comercial relacionado con sus operaciones mercantiles.</w:t>
      </w:r>
    </w:p>
    <w:p>
      <w:pPr>
        <w:pStyle w:val="Normal"/>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4"/>
                    <a:stretch>
                      <a:fillRect/>
                    </a:stretch>
                  </pic:blipFill>
                  <pic:spPr bwMode="auto">
                    <a:xfrm>
                      <a:off x="0" y="0"/>
                      <a:ext cx="1511935" cy="1511935"/>
                    </a:xfrm>
                    <a:prstGeom prst="rect">
                      <a:avLst/>
                    </a:prstGeom>
                    <a:noFill/>
                  </pic:spPr>
                </pic:pic>
              </a:graphicData>
            </a:graphic>
          </wp:inline>
        </w:drawing>
      </w:r>
    </w:p>
    <w:p>
      <w:pPr>
        <w:pStyle w:val="Normal"/>
        <w:spacing w:before="120" w:after="480"/>
        <w:jc w:val="center"/>
        <w:rPr/>
      </w:pPr>
      <w:bookmarkStart w:id="18" w:name="bm_grafico1"/>
      <w:r>
        <w:rPr>
          <w:i/>
          <w:sz w:val="24"/>
        </w:rPr>
        <w:t xml:space="preserve">Gráfico 1. </w:t>
      </w:r>
      <w:r>
        <w:rPr>
          <w:b/>
          <w:sz w:val="24"/>
        </w:rPr>
        <w:t>Logotipo de Ingeniería de Telecomunicaciones, C.A.</w:t>
      </w:r>
      <w:bookmarkEnd w:id="18"/>
    </w:p>
    <w:p>
      <w:pPr>
        <w:pStyle w:val="Normal"/>
        <w:spacing w:before="0" w:after="240"/>
        <w:jc w:val="center"/>
        <w:rPr/>
      </w:pPr>
      <w:r>
        <w:rPr>
          <w:i/>
          <w:sz w:val="24"/>
        </w:rPr>
        <w:t xml:space="preserve">Fuente: </w:t>
      </w:r>
      <w:r>
        <w:rPr>
          <w:sz w:val="24"/>
        </w:rPr>
        <w:t>Ingeniería de Telecomunicaciones, C.A. (2026).</w:t>
      </w:r>
    </w:p>
    <w:p>
      <w:pPr>
        <w:pStyle w:val="Normal"/>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La sede administrativa y operativa de Ingeniería de Telecomunicaciones, C.A. se encuentra ubicada en la Calle Bolívar, Edificio La Suiza, Piso 1, Oficina Nro. 28, ciudad de El Tigre, Municipio Simón Rodríguez, estado Anzoátegui, Venezuela.</w:t>
      </w:r>
    </w:p>
    <w:p>
      <w:pPr>
        <w:pStyle w:val="Normal"/>
        <w:spacing w:before="480" w:after="0"/>
        <w:jc w:val="center"/>
        <w:rPr/>
      </w:pPr>
      <w:r>
        <w:rPr/>
        <w:drawing>
          <wp:inline distT="0" distB="0" distL="0" distR="0">
            <wp:extent cx="1800225" cy="11252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5"/>
                    <a:stretch>
                      <a:fillRect/>
                    </a:stretch>
                  </pic:blipFill>
                  <pic:spPr bwMode="auto">
                    <a:xfrm>
                      <a:off x="0" y="0"/>
                      <a:ext cx="1800225" cy="1125220"/>
                    </a:xfrm>
                    <a:prstGeom prst="rect">
                      <a:avLst/>
                    </a:prstGeom>
                    <a:noFill/>
                  </pic:spPr>
                </pic:pic>
              </a:graphicData>
            </a:graphic>
          </wp:inline>
        </w:drawing>
      </w:r>
    </w:p>
    <w:p>
      <w:pPr>
        <w:pStyle w:val="Normal"/>
        <w:spacing w:before="120" w:after="480"/>
        <w:jc w:val="center"/>
        <w:rPr/>
      </w:pPr>
      <w:bookmarkStart w:id="20" w:name="bm_grafico2"/>
      <w:r>
        <w:rPr>
          <w:i/>
          <w:sz w:val="24"/>
        </w:rPr>
        <w:t xml:space="preserve">Gráfico 2. </w:t>
      </w:r>
      <w:r>
        <w:rPr>
          <w:b/>
          <w:sz w:val="24"/>
        </w:rPr>
        <w:t>Representación cartográfica y ubicación espacial de Ingeniería de Telecomunicaciones, C.A.</w:t>
      </w:r>
      <w:bookmarkEnd w:id="20"/>
    </w:p>
    <w:p>
      <w:pPr>
        <w:pStyle w:val="Normal"/>
        <w:spacing w:lineRule="auto" w:line="360" w:before="480" w:after="480"/>
        <w:jc w:val="start"/>
        <w:rPr/>
      </w:pPr>
      <w:bookmarkStart w:id="21" w:name="bm_cap1_pobla"/>
      <w:r>
        <w:rPr>
          <w:b/>
          <w:sz w:val="24"/>
        </w:rPr>
        <w:t>Población de los trabajadores de la empresa</w:t>
      </w:r>
      <w:bookmarkEnd w:id="21"/>
    </w:p>
    <w:p>
      <w:pPr>
        <w:pStyle w:val="Normal"/>
        <w:spacing w:lineRule="auto" w:line="360" w:before="0" w:after="0"/>
        <w:ind w:firstLine="709"/>
        <w:jc w:val="both"/>
        <w:rPr/>
      </w:pPr>
      <w:r>
        <w:rPr>
          <w:i w:val="false"/>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pStyle w:val="Normal"/>
        <w:spacing w:lineRule="auto" w:line="360" w:before="0" w:after="0"/>
        <w:ind w:firstLine="709"/>
        <w:jc w:val="both"/>
        <w:rPr/>
      </w:pPr>
      <w:r>
        <w:rPr>
          <w:i w:val="false"/>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pPr>
        <w:pStyle w:val="Normal"/>
        <w:spacing w:lineRule="auto" w:line="360" w:before="480" w:after="480"/>
        <w:jc w:val="start"/>
        <w:rPr/>
      </w:pPr>
      <w:bookmarkStart w:id="22" w:name="bm_cap1_estruct"/>
      <w:r>
        <w:rPr>
          <w:b/>
          <w:sz w:val="24"/>
        </w:rPr>
        <w:t>Estructura Organizativa</w:t>
      </w:r>
      <w:bookmarkEnd w:id="22"/>
    </w:p>
    <w:p>
      <w:pPr>
        <w:pStyle w:val="Normal"/>
        <w:spacing w:lineRule="auto" w:line="360" w:before="0" w:after="0"/>
        <w:ind w:firstLine="709"/>
        <w:jc w:val="both"/>
        <w:rPr/>
      </w:pPr>
      <w:r>
        <w:rPr>
          <w:i w:val="false"/>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pStyle w:val="Normal"/>
        <w:spacing w:before="480" w:after="0"/>
        <w:jc w:val="center"/>
        <w:rPr/>
      </w:pPr>
      <w:r>
        <w:rPr/>
        <w:drawing>
          <wp:inline distT="0" distB="0" distL="0" distR="0">
            <wp:extent cx="4319905" cy="18478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6"/>
                    <a:stretch>
                      <a:fillRect/>
                    </a:stretch>
                  </pic:blipFill>
                  <pic:spPr bwMode="auto">
                    <a:xfrm>
                      <a:off x="0" y="0"/>
                      <a:ext cx="4319905" cy="1847850"/>
                    </a:xfrm>
                    <a:prstGeom prst="rect">
                      <a:avLst/>
                    </a:prstGeom>
                    <a:noFill/>
                  </pic:spPr>
                </pic:pic>
              </a:graphicData>
            </a:graphic>
          </wp:inline>
        </w:drawing>
      </w:r>
    </w:p>
    <w:p>
      <w:pPr>
        <w:pStyle w:val="Normal"/>
        <w:spacing w:before="120" w:after="480"/>
        <w:jc w:val="center"/>
        <w:rPr/>
      </w:pPr>
      <w:bookmarkStart w:id="23" w:name="bm_grafico3"/>
      <w:r>
        <w:rPr>
          <w:i/>
          <w:sz w:val="24"/>
        </w:rPr>
        <w:t xml:space="preserve">Gráfico 3. </w:t>
      </w:r>
      <w:r>
        <w:rPr>
          <w:b/>
          <w:sz w:val="24"/>
        </w:rPr>
        <w:t>Organigrama estructural y niveles jerárquicos de Ingeniería de Telecomunicaciones, C.A.</w:t>
      </w:r>
      <w:bookmarkEnd w:id="23"/>
    </w:p>
    <w:p>
      <w:pPr>
        <w:pStyle w:val="Normal"/>
        <w:spacing w:before="480" w:after="0"/>
        <w:jc w:val="center"/>
        <w:rPr/>
      </w:pPr>
      <w:r>
        <w:rPr/>
        <w:drawing>
          <wp:inline distT="0" distB="0" distL="0" distR="0">
            <wp:extent cx="4319905" cy="26803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7"/>
                    <a:stretch>
                      <a:fillRect/>
                    </a:stretch>
                  </pic:blipFill>
                  <pic:spPr bwMode="auto">
                    <a:xfrm>
                      <a:off x="0" y="0"/>
                      <a:ext cx="4319905" cy="2680335"/>
                    </a:xfrm>
                    <a:prstGeom prst="rect">
                      <a:avLst/>
                    </a:prstGeom>
                    <a:noFill/>
                  </pic:spPr>
                </pic:pic>
              </a:graphicData>
            </a:graphic>
          </wp:inline>
        </w:drawing>
      </w:r>
    </w:p>
    <w:p>
      <w:pPr>
        <w:pStyle w:val="Normal"/>
        <w:spacing w:before="120" w:after="480"/>
        <w:jc w:val="center"/>
        <w:rPr/>
      </w:pPr>
      <w:bookmarkStart w:id="24" w:name="bm_grafico4"/>
      <w:r>
        <w:rPr>
          <w:i/>
          <w:sz w:val="24"/>
        </w:rPr>
        <w:t xml:space="preserve">Gráfico 4. </w:t>
      </w:r>
      <w:r>
        <w:rPr>
          <w:b/>
          <w:sz w:val="24"/>
        </w:rPr>
        <w:t>Organigrama del Departamento de Administración.</w:t>
      </w:r>
      <w:bookmarkEnd w:id="24"/>
    </w:p>
    <w:p>
      <w:pPr>
        <w:pStyle w:val="Normal"/>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pPr>
      <w:r>
        <w:rPr>
          <w:i w:val="false"/>
          <w:sz w:val="24"/>
        </w:rPr>
        <w:t>La pasantía se realizó en la Supervisión de Administración, donde se reconocen las funciones de Supervisión de Administración, Contabilidad y Tributos; Compras y Facturación; y Atención al Cliente. La práctica incluyó una rotación inicial por Atención al Cliente y una etapa posterior de apoyo en Administración, con actividades de registro de pagos, facturación, seguimiento de solicitudes y elaboración de reportes administrativos.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w:t>
      </w:r>
    </w:p>
    <w:p>
      <w:pPr>
        <w:pStyle w:val="Normal"/>
        <w:spacing w:before="480" w:after="0"/>
        <w:jc w:val="center"/>
        <w:rPr/>
      </w:pPr>
      <w:bookmarkStart w:id="26" w:name="bm_cap2"/>
      <w:r>
        <w:rPr>
          <w:b/>
          <w:sz w:val="24"/>
        </w:rPr>
        <w:t>DIAGNÓSTICO SITUACIONAL</w:t>
      </w:r>
      <w:bookmarkEnd w:id="26"/>
    </w:p>
    <w:p>
      <w:p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pStyle w:val="Normal"/>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pStyle w:val="Normal"/>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pStyle w:val="Normal"/>
        <w:spacing w:lineRule="auto" w:line="360" w:before="0" w:after="0"/>
        <w:ind w:firstLine="709"/>
        <w:jc w:val="both"/>
        <w:rPr/>
      </w:pPr>
      <w:r>
        <w:rPr>
          <w:i w:val="false"/>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pStyle w:val="Normal"/>
        <w:spacing w:lineRule="auto" w:line="360" w:before="480" w:after="480"/>
        <w:jc w:val="start"/>
        <w:rPr/>
      </w:pPr>
      <w:r>
        <w:rPr>
          <w:b/>
          <w:sz w:val="24"/>
        </w:rPr>
        <w:t>Técnica empleada para el diagnóstico</w:t>
      </w:r>
    </w:p>
    <w:p>
      <w:pPr>
        <w:pStyle w:val="Normal"/>
        <w:spacing w:lineRule="auto" w:line="360" w:before="0" w:after="0"/>
        <w:ind w:firstLine="709"/>
        <w:jc w:val="both"/>
        <w:rPr/>
      </w:pPr>
      <w:r>
        <w:rPr>
          <w:i w:val="false"/>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pStyle w:val="Normal"/>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evaluarse el control administrativo aplicado a la gestión de solicitudes de servicios de telecomunicaciones en IDETEL para identificar sus principales debilidades y formular mejoras procedimentales que fortalezcan la trazabilidad y el seguimiento de los casos?</w:t>
      </w:r>
    </w:p>
    <w:p>
      <w:pPr>
        <w:pStyle w:val="Normal"/>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Evaluar el control administrativo aplicado a la gestión de solicitudes de servicios de telecomunicaciones en Ingeniería de Telecomunicaciones, C.A. (IDETEL), con el propósito de identificar sus debilidades y formular mejoras procedimentales.</w:t>
      </w:r>
    </w:p>
    <w:p>
      <w:pPr>
        <w:pStyle w:val="Normal"/>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p>
      <w:pPr>
        <w:pStyle w:val="Normal"/>
        <w:spacing w:lineRule="auto" w:line="360"/>
        <w:ind w:firstLine="709"/>
        <w:jc w:val="both"/>
        <w:rPr/>
      </w:pPr>
      <w:r>
        <w:rPr>
          <w:sz w:val="24"/>
        </w:rPr>
        <w:t>2. Identificar las deficiencias y causas presentes en los mecanismos de control de las solicitudes de servicio, considerando su incidencia en los tiempos de respuesta, la trazabilidad de los casos y la atención al suscriptor.</w:t>
      </w:r>
    </w:p>
    <w:p>
      <w:pPr>
        <w:pStyle w:val="Normal"/>
        <w:spacing w:lineRule="auto" w:line="360"/>
        <w:ind w:firstLine="709"/>
        <w:jc w:val="both"/>
        <w:rPr/>
      </w:pPr>
      <w:r>
        <w:rPr>
          <w:sz w:val="24"/>
        </w:rPr>
        <w:t>3. Formular mejoras al control administrativo de las solicitudes mediante un flujo estandarizado, formatos de registro, responsables por etapa e indicadores básicos de seguimiento.</w:t>
      </w:r>
    </w:p>
    <w:p>
      <w:pPr>
        <w:pStyle w:val="Normal"/>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cada objetivo específico con las actividades de observación, diagnóstico, análisis y formulación de mejoras al control administrativo:</w:t>
      </w:r>
    </w:p>
    <w:p>
      <w:pPr>
        <w:pStyle w:val="Normal"/>
        <w:spacing w:lineRule="auto" w:line="360" w:before="480" w:after="240"/>
        <w:jc w:val="start"/>
        <w:rPr/>
      </w:pPr>
      <w:bookmarkStart w:id="31" w:name="bm_cuadro1"/>
      <w:r>
        <w:rPr>
          <w:b/>
          <w:sz w:val="24"/>
        </w:rPr>
        <w:t xml:space="preserve">Cuadro 1. </w:t>
      </w:r>
      <w:r>
        <w:rPr>
          <w:i/>
          <w:sz w:val="24"/>
        </w:rPr>
        <w:t>Planificación integral de objetivos específicos.</w:t>
      </w:r>
      <w:bookmarkEnd w:id="31"/>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administrativo actual de recepción, registro, seguimiento y cierre de solicitudes de afiliación e incidencias en Ingeniería de Telecomunicaciones, C.A., considerando la transición de la información entre Atención al Cliente, Administración y las áreas relacionadas.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administrativo de gestión de solicitudes de servicio.</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recorrido de afiliaciones e incidencias desde Atención al Cliente hasta su seguimiento administrativo, describir las etapas y revisar la documentación utilizada.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y análisis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registros de solicitudes, comprobantes y documentos internos.</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y causas presentes en los mecanismos de control de las solicitudes de servicio, considerando su incidencia en los tiempos de respuesta, la trazabilidad de los casos y la atención al suscriptor.</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y causas que afectan el control administrativo de solicitudes.</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Aplicar entrevistas estructuradas al personal, revisar casos históricos, comparar tiempos de respuesta y elaborar un diagrama de Ishikawa con las causas identificadas.</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Entrevista estructurada, análisis documental, comparación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entrevista, registros históricos, reportes internos,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mejoras al control administrativo de las solicitudes mediante un flujo estandarizado, formatos de registro, responsables por etapa e indicadores básicos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Mejoras al control administrativo de solicitudes.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estandarizado, formatos de registro, responsables por etapa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herramientas de diagramación, hoja de cálculo y formato de validación.</w:t>
            </w:r>
          </w:p>
        </w:tc>
      </w:tr>
    </w:tbl>
    <w:p>
      <w:pPr>
        <w:pStyle w:val="Normal"/>
        <w:rPr/>
      </w:pPr>
      <w:r>
        <w:rPr/>
      </w:r>
    </w:p>
    <w:p>
      <w:pPr>
        <w:pStyle w:val="Normal"/>
        <w:spacing w:lineRule="auto" w:line="360" w:before="480" w:after="480"/>
        <w:jc w:val="start"/>
        <w:rPr/>
      </w:pPr>
      <w:bookmarkStart w:id="32" w:name="bm_cap2_crono"/>
      <w:r>
        <w:rPr>
          <w:b/>
          <w:sz w:val="24"/>
        </w:rPr>
        <w:t>Cronograma de actividades</w:t>
      </w:r>
      <w:bookmarkEnd w:id="32"/>
    </w:p>
    <w:p>
      <w:pPr>
        <w:pStyle w:val="Normal"/>
        <w:spacing w:lineRule="auto" w:line="360" w:before="0" w:after="0"/>
        <w:ind w:firstLine="709"/>
        <w:jc w:val="both"/>
        <w:rPr/>
      </w:pPr>
      <w:r>
        <w:rPr>
          <w:i w:val="false"/>
          <w:sz w:val="24"/>
        </w:rPr>
        <w:t>El cronograma organiza las actividades operativas y de análisis durante las diez (10) semanas de pasantía, considerando la rotación inicial por Atención al Cliente y la posterior incorporación al área de Administración:</w:t>
      </w:r>
    </w:p>
    <w:p>
      <w:pPr>
        <w:pStyle w:val="Normal"/>
        <w:spacing w:lineRule="auto" w:line="360" w:before="480" w:after="240"/>
        <w:jc w:val="start"/>
        <w:rPr/>
      </w:pPr>
      <w:bookmarkStart w:id="33" w:name="bm_cuadro2"/>
      <w:r>
        <w:rPr>
          <w:b/>
          <w:sz w:val="24"/>
        </w:rPr>
        <w:t xml:space="preserve">Cuadro 2. </w:t>
      </w:r>
      <w:r>
        <w:rPr>
          <w:i/>
          <w:sz w:val="24"/>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 Atención al Cliente y del flujo de solicitudes.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en Atención al Cliente: registro de pagos, recepción de solicitudes y observación del proceso.</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y descripción del proceso administrativo de afiliaciones e incidencias.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y aplicación de entrevistas estructuradas al personal relacionado con las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Diagnóstico de deficiencias y elaboración del diagrama de Ishikawa.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Revisión y desarrollo de las bases teóricas relacionadas con el control administrativo.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del impacto de las debilidades sobre tiempos, trazabilidad y atención al suscriptor.</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estandarizado y de los formatos de control de solicitudes.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Formulación y validación de la propuesta de mejora.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Consolidación, revisión y presentación del informe de pasantías.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pagos, facturación, seguimiento de casos y reportes administrativos.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bl>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III</w:t>
      </w:r>
    </w:p>
    <w:p>
      <w:pPr>
        <w:pStyle w:val="Normal"/>
        <w:spacing w:before="480" w:after="0"/>
        <w:jc w:val="center"/>
        <w:rPr/>
      </w:pPr>
      <w:bookmarkStart w:id="34" w:name="bm_cap3"/>
      <w:r>
        <w:rPr>
          <w:b/>
          <w:sz w:val="24"/>
        </w:rPr>
        <w:t>MARCO TEÓRICO</w:t>
      </w:r>
      <w:bookmarkEnd w:id="34"/>
    </w:p>
    <w:p>
      <w:p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5" w:name="bm_cap3_bases"/>
      <w:r>
        <w:rPr>
          <w:b/>
          <w:sz w:val="24"/>
        </w:rPr>
        <w:t>Control Administrativo</w:t>
      </w:r>
      <w:bookmarkEnd w:id="35"/>
    </w:p>
    <w:p>
      <w:pPr>
        <w:pStyle w:val="Normal"/>
        <w:spacing w:lineRule="auto" w:line="360" w:before="0" w:after="0"/>
        <w:ind w:firstLine="709"/>
        <w:jc w:val="both"/>
        <w:rPr/>
      </w:pPr>
      <w:r>
        <w:rPr>
          <w:i w:val="false"/>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pStyle w:val="Normal"/>
        <w:spacing w:lineRule="auto" w:line="360" w:before="0" w:after="0"/>
        <w:ind w:firstLine="709"/>
        <w:jc w:val="both"/>
        <w:rPr/>
      </w:pPr>
      <w:r>
        <w:rPr>
          <w:i w:val="false"/>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pStyle w:val="Normal"/>
        <w:spacing w:lineRule="auto" w:line="240" w:before="720" w:after="240"/>
        <w:ind w:start="709" w:end="709"/>
        <w:jc w:val="both"/>
        <w:rPr/>
      </w:pPr>
      <w:r>
        <w:rPr>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 (Robbins y Coulter, 2010, p. 398)</w:t>
      </w:r>
    </w:p>
    <w:p>
      <w:pPr>
        <w:pStyle w:val="Normal"/>
        <w:spacing w:lineRule="auto" w:line="360" w:before="0" w:after="0"/>
        <w:ind w:firstLine="709"/>
        <w:jc w:val="both"/>
        <w:rPr/>
      </w:pPr>
      <w:r>
        <w:rPr>
          <w:i w:val="false"/>
          <w:sz w:val="24"/>
        </w:rPr>
        <w:t>Desde la perspectiva de quien desarrolla este informe, el control administrativo en IDETEL debe convertirse en una herramienta de seguimiento continuo y no limitarse a la revisión posterior de los casos.</w:t>
      </w:r>
    </w:p>
    <w:p>
      <w:pPr>
        <w:pStyle w:val="Normal"/>
        <w:spacing w:lineRule="auto" w:line="360" w:before="480" w:after="480"/>
        <w:jc w:val="start"/>
        <w:rPr/>
      </w:pPr>
      <w:r>
        <w:rPr>
          <w:b/>
          <w:sz w:val="24"/>
        </w:rPr>
        <w:t>Gestión de Solicitudes de Servicio</w:t>
      </w:r>
    </w:p>
    <w:p>
      <w:pPr>
        <w:pStyle w:val="Normal"/>
        <w:spacing w:lineRule="auto" w:line="360" w:before="0" w:after="0"/>
        <w:ind w:firstLine="709"/>
        <w:jc w:val="both"/>
        <w:rPr/>
      </w:pPr>
      <w:r>
        <w:rPr>
          <w:i w:val="false"/>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pStyle w:val="Normal"/>
        <w:spacing w:lineRule="auto" w:line="360" w:before="0" w:after="0"/>
        <w:ind w:firstLine="709"/>
        <w:jc w:val="both"/>
        <w:rPr/>
      </w:pPr>
      <w:r>
        <w:rPr>
          <w:i w:val="false"/>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pStyle w:val="Normal"/>
        <w:spacing w:lineRule="auto" w:line="360" w:before="0" w:after="0"/>
        <w:ind w:firstLine="709"/>
        <w:jc w:val="both"/>
        <w:rPr/>
      </w:pPr>
      <w:r>
        <w:rPr>
          <w:i w:val="false"/>
          <w:sz w:val="24"/>
        </w:rPr>
        <w:t>En el contexto de IDETEL, la gestión de solicitudes requiere un flujo único que permita conocer el responsable, el estado y el tiempo de atención de cada caso.</w:t>
      </w:r>
    </w:p>
    <w:p>
      <w:pPr>
        <w:pStyle w:val="Normal"/>
        <w:spacing w:lineRule="auto" w:line="360" w:before="480" w:after="480"/>
        <w:jc w:val="start"/>
        <w:rPr/>
      </w:pPr>
      <w:r>
        <w:rPr>
          <w:b/>
          <w:sz w:val="24"/>
        </w:rPr>
        <w:t>Procesos Administrativos y Estandarización de Procedimientos</w:t>
      </w:r>
    </w:p>
    <w:p>
      <w:pPr>
        <w:pStyle w:val="Normal"/>
        <w:spacing w:lineRule="auto" w:line="360" w:before="0" w:after="0"/>
        <w:ind w:firstLine="709"/>
        <w:jc w:val="both"/>
        <w:rPr/>
      </w:pPr>
      <w:r>
        <w:rPr>
          <w:i w:val="false"/>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pStyle w:val="Normal"/>
        <w:spacing w:lineRule="auto" w:line="360" w:before="0" w:after="0"/>
        <w:ind w:firstLine="709"/>
        <w:jc w:val="both"/>
        <w:rPr/>
      </w:pPr>
      <w:r>
        <w:rPr>
          <w:i w:val="false"/>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pStyle w:val="Normal"/>
        <w:spacing w:lineRule="auto" w:line="360" w:before="0" w:after="0"/>
        <w:ind w:firstLine="709"/>
        <w:jc w:val="both"/>
        <w:rPr/>
      </w:pPr>
      <w:r>
        <w:rPr>
          <w:i w:val="false"/>
          <w:sz w:val="24"/>
        </w:rPr>
        <w:t>A juicio de quien suscribe, la estandarización propuesta no busca aumentar la carga administrativa, sino eliminar ambigüedades y hacer verificable cada etapa del proceso.</w:t>
      </w:r>
    </w:p>
    <w:p>
      <w:pPr>
        <w:pStyle w:val="Normal"/>
        <w:spacing w:lineRule="auto" w:line="360" w:before="480" w:after="480"/>
        <w:jc w:val="start"/>
        <w:rPr/>
      </w:pPr>
      <w:r>
        <w:rPr>
          <w:b/>
          <w:sz w:val="24"/>
        </w:rPr>
        <w:t>Calidad del Servicio en Empresas de Telecomunicaciones</w:t>
      </w:r>
    </w:p>
    <w:p>
      <w:pPr>
        <w:pStyle w:val="Normal"/>
        <w:spacing w:lineRule="auto" w:line="360" w:before="0" w:after="0"/>
        <w:ind w:firstLine="709"/>
        <w:jc w:val="both"/>
        <w:rPr/>
      </w:pPr>
      <w:r>
        <w:rPr>
          <w:i w:val="false"/>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pStyle w:val="Normal"/>
        <w:spacing w:lineRule="auto" w:line="360" w:before="0" w:after="0"/>
        <w:ind w:firstLine="709"/>
        <w:jc w:val="both"/>
        <w:rPr/>
      </w:pPr>
      <w:r>
        <w:rPr>
          <w:i w:val="false"/>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pStyle w:val="Normal"/>
        <w:spacing w:lineRule="auto" w:line="360" w:before="0" w:after="0"/>
        <w:ind w:firstLine="709"/>
        <w:jc w:val="both"/>
        <w:rPr/>
      </w:pPr>
      <w:r>
        <w:rPr>
          <w:i w:val="false"/>
          <w:sz w:val="24"/>
        </w:rPr>
        <w:t>En el contexto de estas pasantías, la calidad del servicio se relaciona directamente con la capacidad administrativa de IDETEL para responder y dar seguimiento oportuno a las solicitudes del suscriptor.</w:t>
      </w:r>
    </w:p>
    <w:p>
      <w:pPr>
        <w:pStyle w:val="Normal"/>
        <w:spacing w:lineRule="auto" w:line="360" w:before="480" w:after="480"/>
        <w:jc w:val="start"/>
        <w:rPr/>
      </w:pPr>
      <w:r>
        <w:rPr>
          <w:b/>
          <w:sz w:val="24"/>
        </w:rPr>
        <w:t>Sistemas de Información para el Control Administrativo</w:t>
      </w:r>
    </w:p>
    <w:p>
      <w:pPr>
        <w:pStyle w:val="Normal"/>
        <w:spacing w:lineRule="auto" w:line="360" w:before="0" w:after="0"/>
        <w:ind w:firstLine="709"/>
        <w:jc w:val="both"/>
        <w:rPr/>
      </w:pPr>
      <w:r>
        <w:rPr>
          <w:i w:val="false"/>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pStyle w:val="Normal"/>
        <w:spacing w:lineRule="auto" w:line="360" w:before="0" w:after="0"/>
        <w:ind w:firstLine="709"/>
        <w:jc w:val="both"/>
        <w:rPr/>
      </w:pPr>
      <w:r>
        <w:rPr>
          <w:i w:val="false"/>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pStyle w:val="Normal"/>
        <w:spacing w:lineRule="auto" w:line="360" w:before="0" w:after="0"/>
        <w:ind w:firstLine="709"/>
        <w:jc w:val="both"/>
        <w:rPr/>
      </w:pPr>
      <w:r>
        <w:rPr>
          <w:i w:val="false"/>
          <w:sz w:val="24"/>
        </w:rPr>
        <w:t>Desde la posición del autor, una herramienta de seguimiento centralizada es viable para IDETEL porque permite mejorar la trazabilidad sin modificar la naturaleza de los servicios que presta la empresa.</w:t>
      </w:r>
    </w:p>
    <w:p>
      <w:pPr>
        <w:pStyle w:val="Normal"/>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porque reconoce el ejercicio de la actividad empresarial y permite ubicar la prestación de servicios de IDETEL dentro de una actividad económica sujeta al ordenamiento jurídico. Su relación con el informe se limita a este fundamento general y no establece por sí mismo el procedimiento administrativo de seguimiento de solicitudes.</w:t>
      </w:r>
    </w:p>
    <w:p>
      <w:pPr>
        <w:pStyle w:val="Normal"/>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relacionado con la necesidad de conservar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pPr>
      <w:r>
        <w:rPr>
          <w:i w:val="false"/>
          <w:sz w:val="24"/>
        </w:rPr>
        <w:t>La relación con el informe se encuentra en el principio de orden y claridad de las operaciones mercantiles. Los formatos y mecanismos de seguimiento propuestos no sustituyen los libros contables exigidos por la ley, pero complementan el control administrativo al organizar información asociada con solicitudes, pagos, facturación y seguimiento de casos.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IV</w:t>
      </w:r>
    </w:p>
    <w:p>
      <w:pPr>
        <w:pStyle w:val="Normal"/>
        <w:spacing w:before="480" w:after="0"/>
        <w:jc w:val="center"/>
        <w:rPr/>
      </w:pPr>
      <w:bookmarkStart w:id="36" w:name="bm_cap4"/>
      <w:r>
        <w:rPr>
          <w:b/>
          <w:sz w:val="24"/>
        </w:rPr>
        <w:t>ACTIVIDADES REALIZADAS</w:t>
      </w:r>
      <w:bookmarkEnd w:id="36"/>
    </w:p>
    <w:p>
      <w:p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pasantías se desarrollaron actividades operativas y de análisis mediante una rotación inicial por Atención al Cliente y una segunda etapa de apoyo en Administración. Algunas actividades y espacios observados se documentan en la memoria fotográfica incorporada como Anexo I:</w:t>
      </w:r>
    </w:p>
    <w:p>
      <w:pPr>
        <w:pStyle w:val="Normal"/>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y rotación inicial por Atención al Cliente, reconocimiento de los tipos de solicitudes recibidas, revisión del proceso de registro de pagos y familiarización con la información utilizada para atender a los suscriptores.</w:t>
      </w:r>
    </w:p>
    <w:p>
      <w:pPr>
        <w:pStyle w:val="Normal"/>
        <w:spacing w:lineRule="auto" w:line="360"/>
        <w:ind w:firstLine="709"/>
        <w:jc w:val="both"/>
        <w:rPr/>
      </w:pPr>
      <w:r>
        <w:rPr>
          <w:sz w:val="24"/>
        </w:rPr>
        <w:t xml:space="preserve">2. </w:t>
      </w:r>
      <w:r>
        <w:rPr>
          <w:b/>
          <w:sz w:val="24"/>
        </w:rPr>
        <w:t xml:space="preserve">Actividad de investigación: </w:t>
      </w:r>
      <w:r>
        <w:rPr>
          <w:sz w:val="24"/>
        </w:rPr>
        <w:t>Observación directa del punto de inicio de las solicitudes de afiliación e incidencias, identificando los datos que se generan en Atención al Cliente y la forma en que son comunicados a otras áreas.</w:t>
      </w:r>
    </w:p>
    <w:p>
      <w:pPr>
        <w:pStyle w:val="Normal"/>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Atención al Cliente mediante recepción y registro de pagos, verificación de datos básicos de suscriptores y orientación inicial sobre solicitudes e incidencias reportadas.</w:t>
      </w:r>
    </w:p>
    <w:p>
      <w:pPr>
        <w:pStyle w:val="Normal"/>
        <w:spacing w:lineRule="auto" w:line="360"/>
        <w:ind w:firstLine="709"/>
        <w:jc w:val="both"/>
        <w:rPr/>
      </w:pPr>
      <w:r>
        <w:rPr>
          <w:sz w:val="24"/>
        </w:rPr>
        <w:t xml:space="preserve">2. </w:t>
      </w:r>
      <w:r>
        <w:rPr>
          <w:b/>
          <w:sz w:val="24"/>
        </w:rPr>
        <w:t xml:space="preserve">Actividad de investigación: </w:t>
      </w:r>
      <w:r>
        <w:rPr>
          <w:sz w:val="24"/>
        </w:rPr>
        <w:t>Levantamiento del recorrido de las solicitudes desde su recepción, revisión de registros disponibles y elaboración de un esquema preliminar de las etapas y áreas que intervienen en cada tipo de caso.</w:t>
      </w:r>
    </w:p>
    <w:p>
      <w:pPr>
        <w:pStyle w:val="Normal"/>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Continuación del apoyo en Atención al Cliente, registro de pagos y solicitudes, actualización de información básica y seguimiento inicial de casos remitidos a otras áreas.</w:t>
      </w:r>
    </w:p>
    <w:p>
      <w:pPr>
        <w:pStyle w:val="Normal"/>
        <w:spacing w:lineRule="auto" w:line="360"/>
        <w:ind w:firstLine="709"/>
        <w:jc w:val="both"/>
        <w:rPr/>
      </w:pPr>
      <w:r>
        <w:rPr>
          <w:sz w:val="24"/>
        </w:rPr>
        <w:t xml:space="preserve">2. </w:t>
      </w:r>
      <w:r>
        <w:rPr>
          <w:b/>
          <w:sz w:val="24"/>
        </w:rPr>
        <w:t xml:space="preserve">Actividad de investigación: </w:t>
      </w:r>
      <w:r>
        <w:rPr>
          <w:sz w:val="24"/>
        </w:rPr>
        <w:t>Diseño de una guía de entrevista estructurada y revisión del flujo observado para precisar los puntos donde se pierde continuidad o se dificulta conocer el estatus de las solicitudes.</w:t>
      </w:r>
    </w:p>
    <w:p>
      <w:pPr>
        <w:pStyle w:val="Normal"/>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Inicio de la rotación por Administración con apoyo en procesamiento de pagos, facturación, revisión de documentación y seguimiento administrativo de solicitudes activas.</w:t>
      </w:r>
    </w:p>
    <w:p>
      <w:pPr>
        <w:pStyle w:val="Normal"/>
        <w:spacing w:lineRule="auto" w:line="360"/>
        <w:ind w:firstLine="709"/>
        <w:jc w:val="both"/>
        <w:rPr/>
      </w:pPr>
      <w:r>
        <w:rPr>
          <w:sz w:val="24"/>
        </w:rPr>
        <w:t xml:space="preserve">2. </w:t>
      </w:r>
      <w:r>
        <w:rPr>
          <w:b/>
          <w:sz w:val="24"/>
        </w:rPr>
        <w:t xml:space="preserve">Actividad de investigación: </w:t>
      </w:r>
      <w:r>
        <w:rPr>
          <w:sz w:val="24"/>
        </w:rPr>
        <w:t>Aplicación de entrevistas estructuradas al personal vinculado con Administración, Atención al Cliente y áreas relacionadas, registrando las principales fallas percibidas en comunicación, control y seguimiento.</w:t>
      </w:r>
    </w:p>
    <w:p>
      <w:pPr>
        <w:pStyle w:val="Normal"/>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Apoyo en tareas administrativas de facturación, actualización de registros y verificación del cierre de solicitudes e incidencias correspondientes al período.</w:t>
      </w:r>
    </w:p>
    <w:p>
      <w:pPr>
        <w:pStyle w:val="Normal"/>
        <w:spacing w:lineRule="auto" w:line="360"/>
        <w:ind w:firstLine="709"/>
        <w:jc w:val="both"/>
        <w:rPr/>
      </w:pPr>
      <w:r>
        <w:rPr>
          <w:sz w:val="24"/>
        </w:rPr>
        <w:t xml:space="preserve">2. </w:t>
      </w:r>
      <w:r>
        <w:rPr>
          <w:b/>
          <w:sz w:val="24"/>
        </w:rPr>
        <w:t xml:space="preserve">Actividad de investigación: </w:t>
      </w:r>
      <w:r>
        <w:rPr>
          <w:sz w:val="24"/>
        </w:rPr>
        <w:t>Organización de los hallazgos del diagnóstico y elaboración del diagrama de Ishikawa para representar las causas relacionadas con procedimiento, comunicación, registro y seguimiento; inicio de la revisión de bases teóricas.</w:t>
      </w:r>
    </w:p>
    <w:p>
      <w:pPr>
        <w:pStyle w:val="Normal"/>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Procesamiento de pagos y documentos administrativos, apoyo en facturación y elaboración de reportes básicos requeridos por la supervisión.</w:t>
      </w:r>
    </w:p>
    <w:p>
      <w:pPr>
        <w:pStyle w:val="Normal"/>
        <w:spacing w:lineRule="auto" w:line="360"/>
        <w:ind w:firstLine="709"/>
        <w:jc w:val="both"/>
        <w:rPr/>
      </w:pPr>
      <w:r>
        <w:rPr>
          <w:sz w:val="24"/>
        </w:rPr>
        <w:t xml:space="preserve">2. </w:t>
      </w:r>
      <w:r>
        <w:rPr>
          <w:b/>
          <w:sz w:val="24"/>
        </w:rPr>
        <w:t xml:space="preserve">Actividad de investigación: </w:t>
      </w:r>
      <w:r>
        <w:rPr>
          <w:sz w:val="24"/>
        </w:rPr>
        <w:t>Análisis del impacto de las deficiencias identificadas sobre los tiempos de respuesta, la trazabilidad y la atención al suscriptor, complementando el desarrollo del marco teórico.</w:t>
      </w:r>
    </w:p>
    <w:p>
      <w:pPr>
        <w:pStyle w:val="Normal"/>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seguimiento de casos, actualización de registros administrativos y organización de documentación vinculada con solicitudes de servicio.</w:t>
      </w:r>
    </w:p>
    <w:p>
      <w:pPr>
        <w:pStyle w:val="Normal"/>
        <w:spacing w:lineRule="auto" w:line="360"/>
        <w:ind w:firstLine="709"/>
        <w:jc w:val="both"/>
        <w:rPr/>
      </w:pPr>
      <w:r>
        <w:rPr>
          <w:sz w:val="24"/>
        </w:rPr>
        <w:t xml:space="preserve">2. </w:t>
      </w:r>
      <w:r>
        <w:rPr>
          <w:b/>
          <w:sz w:val="24"/>
        </w:rPr>
        <w:t xml:space="preserve">Actividad de investigación: </w:t>
      </w:r>
      <w:r>
        <w:rPr>
          <w:sz w:val="24"/>
        </w:rPr>
        <w:t>Diseño del nuevo flujo estandarizado para la gestión de solicitudes, estableciendo etapas, responsables, tiempos de referencia y puntos de control desde la recepción hasta el cierre.</w:t>
      </w:r>
    </w:p>
    <w:p>
      <w:pPr>
        <w:pStyle w:val="Normal"/>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Colaboración en facturación, seguimiento de incidencias y preparación de reportes administrativos del período.</w:t>
      </w:r>
    </w:p>
    <w:p>
      <w:pPr>
        <w:pStyle w:val="Normal"/>
        <w:spacing w:lineRule="auto" w:line="360"/>
        <w:ind w:firstLine="709"/>
        <w:jc w:val="both"/>
        <w:rPr/>
      </w:pPr>
      <w:r>
        <w:rPr>
          <w:sz w:val="24"/>
        </w:rPr>
        <w:t xml:space="preserve">2. </w:t>
      </w:r>
      <w:r>
        <w:rPr>
          <w:b/>
          <w:sz w:val="24"/>
        </w:rPr>
        <w:t xml:space="preserve">Actividad de investigación: </w:t>
      </w:r>
      <w:r>
        <w:rPr>
          <w:sz w:val="24"/>
        </w:rPr>
        <w:t>Diseño de formatos estandarizados para afiliaciones e incidencias y redacción del procedimiento de control que acompaña al flujo propuesto.</w:t>
      </w:r>
    </w:p>
    <w:p>
      <w:pPr>
        <w:pStyle w:val="Normal"/>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Participación en las actividades regulares de Administración y apoyo en el cierre y seguimiento de casos correspondientes al período de pasantías.</w:t>
      </w:r>
    </w:p>
    <w:p>
      <w:pPr>
        <w:pStyle w:val="Normal"/>
        <w:spacing w:lineRule="auto" w:line="360"/>
        <w:ind w:firstLine="709"/>
        <w:jc w:val="both"/>
        <w:rPr/>
      </w:pPr>
      <w:r>
        <w:rPr>
          <w:sz w:val="24"/>
        </w:rPr>
        <w:t xml:space="preserve">2. </w:t>
      </w:r>
      <w:r>
        <w:rPr>
          <w:b/>
          <w:sz w:val="24"/>
        </w:rPr>
        <w:t xml:space="preserve">Actividad de investigación: </w:t>
      </w:r>
      <w:r>
        <w:rPr>
          <w:sz w:val="24"/>
        </w:rPr>
        <w:t>Redacción y validación de la propuesta de mejora con el tutor industrial, incorporación de observaciones y preparación del flujograma definitivo del proceso propuesto.</w:t>
      </w:r>
    </w:p>
    <w:p>
      <w:pPr>
        <w:pStyle w:val="Normal"/>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de los resultados y de la propuesta ante la supervisión del área, gestión de los recaudos de cierre y organización final de la documentación de pasantías.</w:t>
      </w:r>
    </w:p>
    <w:p>
      <w:pPr>
        <w:pStyle w:val="Normal"/>
        <w:spacing w:lineRule="auto" w:line="360" w:before="0" w:after="0"/>
        <w:ind w:firstLine="709"/>
        <w:jc w:val="both"/>
        <w:rPr/>
      </w:pPr>
      <w:r>
        <w:rPr>
          <w:sz w:val="24"/>
        </w:rPr>
        <w:t xml:space="preserve">2. </w:t>
      </w:r>
      <w:r>
        <w:rPr>
          <w:b/>
          <w:sz w:val="24"/>
        </w:rPr>
        <w:t xml:space="preserve">Actividad de investigación: </w:t>
      </w:r>
      <w:r>
        <w:rPr>
          <w:sz w:val="24"/>
        </w:rPr>
        <w:t>Consolidación del informe académico, revisión de la normativa IUTECP, incorporación de anexos y correcciones finales para la entrega institucional.</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r>
        <w:rPr>
          <w:b/>
          <w:sz w:val="24"/>
        </w:rPr>
        <w:t>CAPÍTULO V</w:t>
      </w:r>
    </w:p>
    <w:p>
      <w:pPr>
        <w:pStyle w:val="Normal"/>
        <w:spacing w:before="480" w:after="0"/>
        <w:jc w:val="center"/>
        <w:rPr/>
      </w:pPr>
      <w:bookmarkStart w:id="38" w:name="bm_cap5"/>
      <w:r>
        <w:rPr>
          <w:b/>
          <w:sz w:val="24"/>
        </w:rPr>
        <w:t>CONCLUSIONES Y RECOMENDACIONES</w:t>
      </w:r>
      <w:bookmarkEnd w:id="38"/>
    </w:p>
    <w:p>
      <w:p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la gestión de solicitudes de IDETEL se inicia en Atención al Cliente y continúa hacia Administración y las áreas relacionadas, sin contar con un procedimiento único que establezca de forma visible el recorrido completo, los responsables y los criterios de cierre de cada caso.</w:t>
      </w:r>
    </w:p>
    <w:p>
      <w:pPr>
        <w:pStyle w:val="Normal"/>
        <w:spacing w:lineRule="auto" w:line="360"/>
        <w:ind w:firstLine="709"/>
        <w:jc w:val="both"/>
        <w:rPr/>
      </w:pPr>
      <w:r>
        <w:rPr>
          <w:sz w:val="24"/>
        </w:rPr>
        <w:t>2. Se identificaron como principales deficiencias la falta de formatos uniformes, la actualización no centralizada del estatus, la ausencia de tiempos de referencia por etapa y las dificultades de comunicación entre las áreas; estas condiciones afectan la trazabilidad y pueden prolongar los tiempos de respuesta al suscriptor.</w:t>
      </w:r>
    </w:p>
    <w:p>
      <w:pPr>
        <w:pStyle w:val="Normal"/>
        <w:spacing w:lineRule="auto" w:line="360"/>
        <w:ind w:firstLine="709"/>
        <w:jc w:val="both"/>
        <w:rPr/>
      </w:pPr>
      <w:r>
        <w:rPr>
          <w:sz w:val="24"/>
        </w:rPr>
        <w:t>3. Se formularon mejoras al control administrativo mediante un flujo estandarizado, responsables por etapa, formatos de registro e indicadores básicos de seguimiento, orientados a facilitar la continuidad de la información y el control de las solicitudes desde su recepción hasta el cierre.</w:t>
      </w:r>
    </w:p>
    <w:p>
      <w:pPr>
        <w:pStyle w:val="Normal"/>
        <w:spacing w:lineRule="auto" w:line="360" w:before="480" w:after="480"/>
        <w:jc w:val="start"/>
        <w:rPr/>
      </w:pPr>
      <w:bookmarkStart w:id="40" w:name="bm_cap5_recom"/>
      <w:r>
        <w:rPr>
          <w:b/>
          <w:sz w:val="24"/>
        </w:rPr>
        <w:t>Recomendaciones</w:t>
      </w:r>
      <w:bookmarkEnd w:id="40"/>
    </w:p>
    <w:p>
      <w:pPr>
        <w:pStyle w:val="Normal"/>
        <w:spacing w:lineRule="auto" w:line="360"/>
        <w:ind w:firstLine="709"/>
        <w:jc w:val="both"/>
        <w:rPr/>
      </w:pPr>
      <w:r>
        <w:rPr>
          <w:sz w:val="24"/>
        </w:rPr>
        <w:t>1. Implementar progresivamente el flujo estandarizado propuesto y verificar su funcionamiento con un grupo controlado de solicitudes antes de aplicarlo a todos los casos.</w:t>
      </w:r>
    </w:p>
    <w:p>
      <w:pPr>
        <w:pStyle w:val="Normal"/>
        <w:spacing w:lineRule="auto" w:line="360"/>
        <w:ind w:firstLine="709"/>
        <w:jc w:val="both"/>
        <w:rPr/>
      </w:pPr>
      <w:r>
        <w:rPr>
          <w:sz w:val="24"/>
        </w:rPr>
        <w:t>2. Utilizar de manera uniforme los formatos de registro de afiliaciones e incidencias y definir claramente el responsable de actualizar el estatus en cada etapa.</w:t>
      </w:r>
    </w:p>
    <w:p>
      <w:pPr>
        <w:pStyle w:val="Normal"/>
        <w:spacing w:lineRule="auto" w:line="360"/>
        <w:ind w:firstLine="709"/>
        <w:jc w:val="both"/>
        <w:rPr/>
      </w:pPr>
      <w:r>
        <w:rPr>
          <w:sz w:val="24"/>
        </w:rPr>
        <w:t>3. Registrar y revisar periódicamente tiempos de respuesta, solicitudes pendientes y casos cerrados para identificar retrasos recurrentes y aplicar acciones correctivas.</w:t>
      </w:r>
    </w:p>
    <w:p>
      <w:pPr>
        <w:pStyle w:val="Normal"/>
        <w:spacing w:lineRule="auto" w:line="360" w:before="0" w:after="0"/>
        <w:ind w:firstLine="709"/>
        <w:jc w:val="both"/>
        <w:rPr/>
      </w:pPr>
      <w:r>
        <w:rPr>
          <w:sz w:val="24"/>
        </w:rPr>
        <w:t>4. Evaluar posteriormente una herramienta digital centralizada de seguimiento cuando el procedimiento administrativo ya se encuentre formalizado y validado por las áreas involucradas.</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1140" w:after="480"/>
        <w:jc w:val="center"/>
        <w:rPr/>
      </w:pPr>
      <w:bookmarkStart w:id="41" w:name="bm_referencias"/>
      <w:r>
        <w:rPr>
          <w:b/>
          <w:sz w:val="24"/>
        </w:rPr>
        <w:t>REFERENCIAS</w:t>
      </w:r>
      <w:bookmarkEnd w:id="41"/>
    </w:p>
    <w:p>
      <w:p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p>
    <w:p>
      <w:pPr>
        <w:pStyle w:val="Normal"/>
        <w:spacing w:before="480" w:after="0"/>
        <w:rPr/>
      </w:pPr>
      <w:r>
        <w:rPr/>
      </w:r>
    </w:p>
    <w:p>
      <w:pPr>
        <w:pStyle w:val="Normal"/>
        <w:spacing w:lineRule="auto" w:line="240" w:before="0" w:after="480"/>
        <w:ind w:hanging="425" w:start="425"/>
        <w:jc w:val="both"/>
        <w:rPr/>
      </w:pPr>
      <w:r>
        <w:rPr>
          <w:sz w:val="24"/>
        </w:rPr>
        <w:t>Asamblea Nacional Constituyente. (1999). Constitución de la República Bolivariana de Venezuela. Gaceta Oficial de la República Bolivariana de Venezuela.</w:t>
      </w:r>
    </w:p>
    <w:p>
      <w:pPr>
        <w:pStyle w:val="Normal"/>
        <w:spacing w:lineRule="auto" w:line="240" w:before="0" w:after="480"/>
        <w:ind w:hanging="425" w:start="425"/>
        <w:jc w:val="both"/>
        <w:rPr/>
      </w:pPr>
      <w:r>
        <w:rPr>
          <w:sz w:val="24"/>
        </w:rPr>
        <w:t>Chiavenato, I. (2006). Introducción a la teoría general de la administración (7ma ed.). McGraw-Hill, México.</w:t>
      </w:r>
    </w:p>
    <w:p>
      <w:pPr>
        <w:pStyle w:val="Normal"/>
        <w:spacing w:lineRule="auto" w:line="240" w:before="0" w:after="480"/>
        <w:ind w:hanging="425" w:start="425"/>
        <w:jc w:val="both"/>
        <w:rPr/>
      </w:pPr>
      <w:r>
        <w:rPr>
          <w:sz w:val="24"/>
        </w:rPr>
        <w:t>Congreso de la República de Venezuela. (1955). Código de Comercio. Gaceta Oficial Extraordinaria N.º 475.</w:t>
      </w:r>
    </w:p>
    <w:p>
      <w:pPr>
        <w:pStyle w:val="Normal"/>
        <w:spacing w:lineRule="auto" w:line="240" w:before="0" w:after="480"/>
        <w:ind w:hanging="425" w:start="425"/>
        <w:jc w:val="both"/>
        <w:rPr/>
      </w:pPr>
      <w:r>
        <w:rPr>
          <w:sz w:val="24"/>
        </w:rPr>
        <w:t>Harrington, H. J. (1993). Mejoramiento de los procesos de la empresa. McGraw-Hill, Colombia.</w:t>
      </w:r>
    </w:p>
    <w:p>
      <w:pPr>
        <w:pStyle w:val="Normal"/>
        <w:spacing w:lineRule="auto" w:line="240" w:before="0" w:after="480"/>
        <w:ind w:hanging="425" w:start="425"/>
        <w:jc w:val="both"/>
        <w:rPr/>
      </w:pPr>
      <w:r>
        <w:rPr>
          <w:sz w:val="24"/>
        </w:rPr>
        <w:t>Laudon, K., y Laudon, J. (2016). Sistemas de información gerencial (14va ed.). Pearson Educación, México.</w:t>
      </w:r>
    </w:p>
    <w:p>
      <w:pPr>
        <w:pStyle w:val="Normal"/>
        <w:spacing w:lineRule="auto" w:line="240" w:before="0" w:after="480"/>
        <w:ind w:hanging="425" w:start="425"/>
        <w:jc w:val="both"/>
        <w:rPr/>
      </w:pPr>
      <w:r>
        <w:rPr>
          <w:sz w:val="24"/>
        </w:rPr>
        <w:t>Parasuraman, A., Zeithaml, V., y Berry, L. (1988). SERVQUAL: A multiple-item scale for measuring consumer perceptions of service quality. Journal of Retailing, 64(1), 12-40.</w:t>
      </w:r>
    </w:p>
    <w:p>
      <w:pPr>
        <w:pStyle w:val="Normal"/>
        <w:spacing w:lineRule="auto" w:line="240" w:before="0" w:after="480"/>
        <w:ind w:hanging="425" w:start="425"/>
        <w:jc w:val="both"/>
        <w:rPr/>
      </w:pPr>
      <w:r>
        <w:rPr>
          <w:sz w:val="24"/>
        </w:rPr>
        <w:t>Robbins, S., y Coulter, M. (2010). Administración (10ma ed.). Pearson Educación, México.</w:t>
      </w:r>
    </w:p>
    <w:p>
      <w:pPr>
        <w:pStyle w:val="Normal"/>
        <w:spacing w:lineRule="auto" w:line="240" w:before="0" w:after="0"/>
        <w:ind w:hanging="425" w:start="425"/>
        <w:jc w:val="both"/>
        <w:rPr/>
      </w:pPr>
      <w:r>
        <w:rPr>
          <w:sz w:val="24"/>
        </w:rPr>
        <w:t>Zeithaml, V., Parasuraman, A., y Berry, L. (1993). Calidad total en la gestión de servicios. Díaz de Santos, España.</w:t>
      </w:r>
    </w:p>
    <w:p>
      <w:pPr>
        <w:sectPr>
          <w:type w:val="continuous"/>
          <w:pgSz w:w="12240" w:h="15840"/>
          <w:pgMar w:left="2268" w:right="1701" w:gutter="0" w:header="0" w:top="1701" w:footer="720" w:bottom="1701"/>
          <w:formProt w:val="false"/>
          <w:titlePg/>
          <w:textDirection w:val="lrTb"/>
          <w:docGrid w:type="default" w:linePitch="360" w:charSpace="0"/>
        </w:sectPr>
      </w:pPr>
    </w:p>
    <w:p>
      <w:pPr>
        <w:pStyle w:val="Normal"/>
        <w:spacing w:before="4740"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32"/>
        </w:rPr>
        <w:t>ANEXOS</w:t>
      </w:r>
      <w:bookmarkEnd w:id="42"/>
    </w:p>
    <w:p>
      <w:pPr>
        <w:pStyle w:val="Normal"/>
        <w:spacing w:before="0" w:after="480"/>
        <w:jc w:val="center"/>
        <w:rPr/>
      </w:pPr>
      <w:bookmarkStart w:id="43" w:name="bm_anexoA"/>
      <w:bookmarkEnd w:id="43"/>
      <w:r>
        <w:rPr>
          <w:b/>
          <w:sz w:val="24"/>
        </w:rPr>
        <w:t>ANEXO A</w:t>
      </w:r>
    </w:p>
    <w:p>
      <w:pPr>
        <w:pStyle w:val="Normal"/>
        <w:spacing w:before="240" w:after="480"/>
        <w:jc w:val="center"/>
        <w:rPr/>
      </w:pPr>
      <w:r>
        <w:rPr>
          <w:b/>
          <w:sz w:val="24"/>
        </w:rPr>
        <w:t>[Flujograma del proceso propuesto de gestión de solicitudes de servicios]</w:t>
      </w:r>
    </w:p>
    <w:p>
      <w:pPr>
        <w:pStyle w:val="Normal"/>
        <w:spacing w:before="0" w:after="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drawing>
          <wp:inline distT="0" distB="0" distL="0" distR="0">
            <wp:extent cx="1065530" cy="48602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1065530" cy="4860290"/>
                    </a:xfrm>
                    <a:prstGeom prst="rect">
                      <a:avLst/>
                    </a:prstGeom>
                    <a:noFill/>
                  </pic:spPr>
                </pic:pic>
              </a:graphicData>
            </a:graphic>
          </wp:inline>
        </w:drawing>
      </w:r>
    </w:p>
    <w:p>
      <w:pPr>
        <w:pStyle w:val="Normal"/>
        <w:spacing w:before="0" w:after="480"/>
        <w:jc w:val="center"/>
        <w:rPr/>
      </w:pPr>
      <w:bookmarkStart w:id="44" w:name="bm_anexoB"/>
      <w:bookmarkEnd w:id="44"/>
      <w:r>
        <w:rPr>
          <w:b/>
          <w:sz w:val="24"/>
        </w:rPr>
        <w:t>ANEXO B</w:t>
      </w:r>
    </w:p>
    <w:p>
      <w:pPr>
        <w:pStyle w:val="Normal"/>
        <w:spacing w:before="240" w:after="480"/>
        <w:jc w:val="center"/>
        <w:rPr/>
      </w:pPr>
      <w:r>
        <w:rPr>
          <w:b/>
          <w:sz w:val="24"/>
        </w:rPr>
        <w:t>[Diagrama de Ishikawa del control de solicitudes]</w:t>
      </w:r>
    </w:p>
    <w:p>
      <w:pPr>
        <w:pStyle w:val="Normal"/>
        <w:jc w:val="center"/>
        <w:rPr/>
      </w:pPr>
      <w:r>
        <w:rPr/>
        <w:drawing>
          <wp:inline distT="0" distB="0" distL="0" distR="0">
            <wp:extent cx="4679950" cy="1208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4679950" cy="1208405"/>
                    </a:xfrm>
                    <a:prstGeom prst="rect">
                      <a:avLst/>
                    </a:prstGeom>
                    <a:noFill/>
                  </pic:spPr>
                </pic:pic>
              </a:graphicData>
            </a:graphic>
          </wp:inline>
        </w:drawing>
      </w:r>
    </w:p>
    <w:p>
      <w:pPr>
        <w:pStyle w:val="Normal"/>
        <w:spacing w:lineRule="auto" w:line="360" w:before="0" w:after="0"/>
        <w:ind w:firstLine="709"/>
        <w:jc w:val="both"/>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5" w:name="bm_anexoC"/>
      <w:bookmarkEnd w:id="45"/>
      <w:r>
        <w:rPr>
          <w:b/>
          <w:sz w:val="24"/>
        </w:rPr>
        <w:t>ANEXO C</w:t>
      </w:r>
    </w:p>
    <w:p>
      <w:pPr>
        <w:pStyle w:val="Normal"/>
        <w:spacing w:before="240" w:after="480"/>
        <w:jc w:val="center"/>
        <w:rPr/>
      </w:pPr>
      <w:r>
        <w:rPr>
          <w:b/>
          <w:sz w:val="24"/>
        </w:rPr>
        <w:t>[Flujograma AS-IS de afiliaciones e incidencias]</w:t>
      </w:r>
    </w:p>
    <w:p>
      <w:pPr>
        <w:pStyle w:val="Normal"/>
        <w:jc w:val="center"/>
        <w:rPr/>
      </w:pPr>
      <w:r>
        <w:rPr/>
        <w:drawing>
          <wp:inline distT="0" distB="0" distL="0" distR="0">
            <wp:extent cx="2550795" cy="5400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2550795" cy="5400040"/>
                    </a:xfrm>
                    <a:prstGeom prst="rect">
                      <a:avLst/>
                    </a:prstGeom>
                    <a:noFill/>
                  </pic:spPr>
                </pic:pic>
              </a:graphicData>
            </a:graphic>
          </wp:inline>
        </w:drawing>
      </w:r>
    </w:p>
    <w:p>
      <w:pPr>
        <w:pStyle w:val="Normal"/>
        <w:spacing w:lineRule="auto" w:line="360" w:before="0" w:after="0"/>
        <w:ind w:firstLine="709"/>
        <w:jc w:val="both"/>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6" w:name="bm_anexoD"/>
      <w:bookmarkEnd w:id="46"/>
      <w:r>
        <w:rPr>
          <w:b/>
          <w:sz w:val="24"/>
        </w:rPr>
        <w:t>ANEXO D</w:t>
      </w:r>
    </w:p>
    <w:p>
      <w:pPr>
        <w:pStyle w:val="Normal"/>
        <w:spacing w:before="240" w:after="480"/>
        <w:jc w:val="center"/>
        <w:rPr/>
      </w:pPr>
      <w:r>
        <w:rPr>
          <w:b/>
          <w:sz w:val="24"/>
        </w:rPr>
        <w:t>[Swimlane interdepartamental de gestión de solicitudes]</w:t>
      </w:r>
    </w:p>
    <w:p>
      <w:pPr>
        <w:pStyle w:val="Normal"/>
        <w:jc w:val="center"/>
        <w:rPr/>
      </w:pPr>
      <w:r>
        <w:rPr/>
        <w:drawing>
          <wp:inline distT="0" distB="0" distL="0" distR="0">
            <wp:extent cx="5039995" cy="29425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5039995" cy="2942590"/>
                    </a:xfrm>
                    <a:prstGeom prst="rect">
                      <a:avLst/>
                    </a:prstGeom>
                    <a:noFill/>
                  </pic:spPr>
                </pic:pic>
              </a:graphicData>
            </a:graphic>
          </wp:inline>
        </w:drawing>
      </w:r>
    </w:p>
    <w:p>
      <w:pPr>
        <w:pStyle w:val="Normal"/>
        <w:spacing w:lineRule="auto" w:line="360" w:before="0" w:after="0"/>
        <w:ind w:firstLine="709"/>
        <w:jc w:val="both"/>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7" w:name="bm_anexoE"/>
      <w:bookmarkEnd w:id="47"/>
      <w:r>
        <w:rPr>
          <w:b/>
          <w:sz w:val="24"/>
        </w:rPr>
        <w:t>ANEXO E</w:t>
      </w:r>
    </w:p>
    <w:p>
      <w:pPr>
        <w:pStyle w:val="Normal"/>
        <w:spacing w:before="240" w:after="480"/>
        <w:jc w:val="center"/>
        <w:rPr/>
      </w:pPr>
      <w:r>
        <w:rPr>
          <w:b/>
          <w:sz w:val="24"/>
        </w:rPr>
        <w:t>[Estados de una solicitud de servicio]</w:t>
      </w:r>
    </w:p>
    <w:p>
      <w:pPr>
        <w:pStyle w:val="Normal"/>
        <w:jc w:val="center"/>
        <w:rPr/>
      </w:pPr>
      <w:r>
        <w:rPr/>
        <w:drawing>
          <wp:inline distT="0" distB="0" distL="0" distR="0">
            <wp:extent cx="4679950" cy="22199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4679950" cy="2219960"/>
                    </a:xfrm>
                    <a:prstGeom prst="rect">
                      <a:avLst/>
                    </a:prstGeom>
                    <a:noFill/>
                  </pic:spPr>
                </pic:pic>
              </a:graphicData>
            </a:graphic>
          </wp:inline>
        </w:drawing>
      </w:r>
    </w:p>
    <w:p>
      <w:pPr>
        <w:pStyle w:val="Normal"/>
        <w:spacing w:lineRule="auto" w:line="360" w:before="0" w:after="0"/>
        <w:ind w:firstLine="709"/>
        <w:jc w:val="both"/>
        <w:rPr/>
        <w:sectPr>
          <w:footerReference w:type="even" r:id="rId83"/>
          <w:footerReference w:type="default" r:id="rId84"/>
          <w:footerReference w:type="first" r:id="rId85"/>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8" w:name="bm_anexoF"/>
      <w:bookmarkEnd w:id="48"/>
      <w:r>
        <w:rPr>
          <w:b/>
          <w:sz w:val="24"/>
        </w:rPr>
        <w:t>ANEXO F</w:t>
      </w:r>
    </w:p>
    <w:p>
      <w:pPr>
        <w:pStyle w:val="Normal"/>
        <w:spacing w:before="240" w:after="480"/>
        <w:jc w:val="center"/>
        <w:rPr/>
      </w:pPr>
      <w:r>
        <w:rPr>
          <w:b/>
          <w:sz w:val="24"/>
        </w:rPr>
        <w:t>[Comunicación interdepartamental]</w:t>
      </w:r>
    </w:p>
    <w:p>
      <w:pPr>
        <w:pStyle w:val="Normal"/>
        <w:jc w:val="center"/>
        <w:rPr/>
      </w:pPr>
      <w:r>
        <w:rPr/>
        <w:drawing>
          <wp:inline distT="0" distB="0" distL="0" distR="0">
            <wp:extent cx="3651885" cy="46799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6"/>
                    <a:stretch>
                      <a:fillRect/>
                    </a:stretch>
                  </pic:blipFill>
                  <pic:spPr bwMode="auto">
                    <a:xfrm>
                      <a:off x="0" y="0"/>
                      <a:ext cx="3651885" cy="4679950"/>
                    </a:xfrm>
                    <a:prstGeom prst="rect">
                      <a:avLst/>
                    </a:prstGeom>
                    <a:noFill/>
                  </pic:spPr>
                </pic:pic>
              </a:graphicData>
            </a:graphic>
          </wp:inline>
        </w:drawing>
      </w:r>
    </w:p>
    <w:p>
      <w:pPr>
        <w:pStyle w:val="Normal"/>
        <w:spacing w:lineRule="auto" w:line="360" w:before="0" w:after="0"/>
        <w:ind w:firstLine="709"/>
        <w:jc w:val="both"/>
        <w:rPr/>
        <w:sectPr>
          <w:footerReference w:type="even" r:id="rId87"/>
          <w:footerReference w:type="default" r:id="rId88"/>
          <w:footerReference w:type="first" r:id="rId89"/>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49" w:name="bm_anexoG"/>
      <w:bookmarkEnd w:id="49"/>
      <w:r>
        <w:rPr>
          <w:b/>
          <w:sz w:val="24"/>
        </w:rPr>
        <w:t>ANEXO G</w:t>
      </w:r>
    </w:p>
    <w:p>
      <w:pPr>
        <w:pStyle w:val="Normal"/>
        <w:spacing w:before="240" w:after="480"/>
        <w:jc w:val="center"/>
        <w:rPr/>
      </w:pPr>
      <w:r>
        <w:rPr>
          <w:b/>
          <w:sz w:val="24"/>
        </w:rPr>
        <w:t>[Comparación AS-IS y TO-BE del control de solicitudes]</w:t>
      </w:r>
    </w:p>
    <w:p>
      <w:pPr>
        <w:pStyle w:val="Normal"/>
        <w:jc w:val="center"/>
        <w:rPr/>
      </w:pPr>
      <w:r>
        <w:rPr/>
        <w:drawing>
          <wp:inline distT="0" distB="0" distL="0" distR="0">
            <wp:extent cx="4679950" cy="46799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90"/>
                    <a:stretch>
                      <a:fillRect/>
                    </a:stretch>
                  </pic:blipFill>
                  <pic:spPr bwMode="auto">
                    <a:xfrm>
                      <a:off x="0" y="0"/>
                      <a:ext cx="4679950" cy="4679950"/>
                    </a:xfrm>
                    <a:prstGeom prst="rect">
                      <a:avLst/>
                    </a:prstGeom>
                    <a:noFill/>
                  </pic:spPr>
                </pic:pic>
              </a:graphicData>
            </a:graphic>
          </wp:inline>
        </w:drawing>
      </w:r>
    </w:p>
    <w:p>
      <w:pPr>
        <w:pStyle w:val="Normal"/>
        <w:spacing w:lineRule="auto" w:line="360" w:before="0" w:after="0"/>
        <w:ind w:firstLine="709"/>
        <w:jc w:val="both"/>
        <w:rPr/>
        <w:sectPr>
          <w:footerReference w:type="even" r:id="rId91"/>
          <w:footerReference w:type="default" r:id="rId92"/>
          <w:footerReference w:type="first" r:id="rId93"/>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0" w:name="bm_anexoH"/>
      <w:bookmarkEnd w:id="50"/>
      <w:r>
        <w:rPr>
          <w:b/>
          <w:sz w:val="24"/>
        </w:rPr>
        <w:t>ANEXO H</w:t>
      </w:r>
    </w:p>
    <w:p>
      <w:pPr>
        <w:pStyle w:val="Normal"/>
        <w:spacing w:before="240" w:after="480"/>
        <w:jc w:val="center"/>
        <w:rPr/>
      </w:pPr>
      <w:r>
        <w:rPr>
          <w:b/>
          <w:sz w:val="24"/>
        </w:rPr>
        <w:t>[Diagrama de Ishikawa del control y trazabilidad de las solicitudes de servicio]</w:t>
      </w:r>
    </w:p>
    <w:p>
      <w:pPr>
        <w:pStyle w:val="Normal"/>
        <w:jc w:val="center"/>
        <w:rPr/>
      </w:pPr>
      <w:r>
        <w:rPr/>
        <w:drawing>
          <wp:inline distT="0" distB="0" distL="0" distR="0">
            <wp:extent cx="4679950" cy="42646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94"/>
                    <a:stretch>
                      <a:fillRect/>
                    </a:stretch>
                  </pic:blipFill>
                  <pic:spPr bwMode="auto">
                    <a:xfrm>
                      <a:off x="0" y="0"/>
                      <a:ext cx="4679950" cy="4264660"/>
                    </a:xfrm>
                    <a:prstGeom prst="rect">
                      <a:avLst/>
                    </a:prstGeom>
                    <a:noFill/>
                  </pic:spPr>
                </pic:pic>
              </a:graphicData>
            </a:graphic>
          </wp:inline>
        </w:drawing>
      </w:r>
    </w:p>
    <w:p>
      <w:pPr>
        <w:pStyle w:val="Normal"/>
        <w:spacing w:lineRule="auto" w:line="360" w:before="0" w:after="0"/>
        <w:ind w:firstLine="709"/>
        <w:jc w:val="both"/>
        <w:rPr/>
        <w:sectPr>
          <w:footerReference w:type="even" r:id="rId95"/>
          <w:footerReference w:type="default" r:id="rId96"/>
          <w:footerReference w:type="first" r:id="rId97"/>
          <w:type w:val="nextPage"/>
          <w:pgSz w:w="12240" w:h="15840"/>
          <w:pgMar w:left="2268" w:right="1701" w:gutter="0" w:header="0" w:top="1701" w:footer="720" w:bottom="1701"/>
          <w:pgNumType w:fmt="decimal"/>
          <w:formProt w:val="false"/>
          <w:textDirection w:val="lrTb"/>
          <w:docGrid w:type="default" w:linePitch="360" w:charSpace="0"/>
        </w:sectPr>
      </w:pPr>
      <w:r>
        <w:rPr>
          <w:i w:val="false"/>
          <w:sz w:val="24"/>
        </w:rPr>
        <w:t>Fuente: Elaboración propia (2026).</w:t>
      </w:r>
    </w:p>
    <w:p>
      <w:pPr>
        <w:pStyle w:val="Normal"/>
        <w:spacing w:before="0" w:after="480"/>
        <w:jc w:val="center"/>
        <w:rPr/>
      </w:pPr>
      <w:bookmarkStart w:id="51" w:name="bm_anexoI"/>
      <w:bookmarkEnd w:id="51"/>
      <w:r>
        <w:rPr>
          <w:b/>
          <w:sz w:val="24"/>
        </w:rPr>
        <w:t>ANEXO I</w:t>
      </w:r>
    </w:p>
    <w:p>
      <w:pPr>
        <w:pStyle w:val="Normal"/>
        <w:spacing w:before="240" w:after="480"/>
        <w:jc w:val="center"/>
        <w:rPr/>
      </w:pPr>
      <w:r>
        <w:rPr>
          <w:b/>
          <w:sz w:val="24"/>
        </w:rPr>
        <w:t>[Memoria fotográfica de las actividades realizadas]</w:t>
      </w:r>
    </w:p>
    <w:p>
      <w:pPr>
        <w:pStyle w:val="Normal"/>
        <w:jc w:val="center"/>
        <w:rPr/>
      </w:pPr>
      <w:r>
        <w:rPr/>
        <w:drawing>
          <wp:inline distT="0" distB="0" distL="0" distR="0">
            <wp:extent cx="4860290" cy="3644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98"/>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1. Registro de actividades administrativas frente al equipo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99"/>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2. Vista general del espacio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00"/>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3. Verificación de información en los registros administrativos del área.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4860290" cy="36449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101"/>
                    <a:stretch>
                      <a:fillRect/>
                    </a:stretch>
                  </pic:blipFill>
                  <pic:spPr bwMode="auto">
                    <a:xfrm>
                      <a:off x="0" y="0"/>
                      <a:ext cx="4860290" cy="3644900"/>
                    </a:xfrm>
                    <a:prstGeom prst="rect">
                      <a:avLst/>
                    </a:prstGeom>
                    <a:noFill/>
                  </pic:spPr>
                </pic:pic>
              </a:graphicData>
            </a:graphic>
          </wp:inline>
        </w:drawing>
      </w:r>
    </w:p>
    <w:p>
      <w:pPr>
        <w:pStyle w:val="Normal"/>
        <w:spacing w:before="120" w:after="240"/>
        <w:jc w:val="center"/>
        <w:rPr/>
      </w:pPr>
      <w:r>
        <w:rPr>
          <w:b/>
          <w:sz w:val="20"/>
        </w:rPr>
        <w:t>Fotografía 4. Puesto de trabajo utilizado para la gestión de información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102"/>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5. Revisión de registros y documentos desde el puesto de trabajo.</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03"/>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6. Revisión de información de pagos y soportes documentales.</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104"/>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7. Puesto de trabajo del área administrativa.</w:t>
      </w:r>
    </w:p>
    <w:p>
      <w:pPr>
        <w:pStyle w:val="Normal"/>
        <w:rPr/>
      </w:pPr>
      <w:r>
        <w:rPr/>
      </w:r>
      <w:r>
        <w:br w:type="page"/>
      </w:r>
    </w:p>
    <w:p>
      <w:pPr>
        <w:pStyle w:val="Normal"/>
        <w:spacing w:before="0" w:after="480"/>
        <w:jc w:val="center"/>
        <w:rPr/>
      </w:pPr>
      <w:r>
        <w:rPr>
          <w:b/>
          <w:sz w:val="24"/>
        </w:rPr>
        <w:t>ANEXO I (CONT.)</w:t>
      </w:r>
    </w:p>
    <w:p>
      <w:pPr>
        <w:pStyle w:val="Normal"/>
        <w:jc w:val="center"/>
        <w:rPr/>
      </w:pPr>
      <w:r>
        <w:rPr/>
        <w:drawing>
          <wp:inline distT="0" distB="0" distL="0" distR="0">
            <wp:extent cx="3780155" cy="503999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105"/>
                    <a:stretch>
                      <a:fillRect/>
                    </a:stretch>
                  </pic:blipFill>
                  <pic:spPr bwMode="auto">
                    <a:xfrm>
                      <a:off x="0" y="0"/>
                      <a:ext cx="3780155" cy="5039995"/>
                    </a:xfrm>
                    <a:prstGeom prst="rect">
                      <a:avLst/>
                    </a:prstGeom>
                    <a:noFill/>
                  </pic:spPr>
                </pic:pic>
              </a:graphicData>
            </a:graphic>
          </wp:inline>
        </w:drawing>
      </w:r>
    </w:p>
    <w:p>
      <w:pPr>
        <w:pStyle w:val="Normal"/>
        <w:spacing w:before="120" w:after="240"/>
        <w:jc w:val="center"/>
        <w:rPr/>
      </w:pPr>
      <w:r>
        <w:rPr>
          <w:b/>
          <w:sz w:val="20"/>
        </w:rPr>
        <w:t>Fotografía 8. Puesto de trabajo y equipo utilizado durante la pasantía.</w:t>
      </w:r>
    </w:p>
    <w:p>
      <w:pPr>
        <w:pStyle w:val="Normal"/>
        <w:spacing w:lineRule="auto" w:line="360" w:before="0" w:after="0"/>
        <w:ind w:firstLine="709"/>
        <w:jc w:val="both"/>
        <w:rPr>
          <w:rFonts w:ascii="Times New Roman" w:hAnsi="Times New Roman"/>
          <w:i w:val="false"/>
          <w:sz w:val="24"/>
        </w:rPr>
      </w:pPr>
      <w:r>
        <w:rPr>
          <w:i w:val="false"/>
          <w:sz w:val="24"/>
        </w:rPr>
        <w:t>Fuente: Registro fotográfico suministrado por la autora (2026).</w:t>
      </w:r>
      <w:r>
        <w:br w:type="page"/>
      </w:r>
    </w:p>
    <w:p>
      <w:pPr>
        <w:pStyle w:val="Normal"/>
        <w:spacing w:lineRule="auto" w:line="360" w:before="0" w:after="0"/>
        <w:ind w:firstLine="709"/>
        <w:jc w:val="both"/>
        <w:rPr>
          <w:rFonts w:ascii="Times New Roman" w:hAnsi="Times New Roman"/>
          <w:i w:val="false"/>
          <w:sz w:val="24"/>
        </w:rPr>
      </w:pPr>
      <w:r>
        <w:rPr>
          <w:i w:val="false"/>
          <w:sz w:val="24"/>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01 al 05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Realizar la inducción institucional y reconocer el funcionamiento de Atención al Cliente, identificando cómo se reciben pagos y solicitudes de los suscriptores.</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Inducción y recorrido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Conocer las instalaciones, normas internas y áreas vinculadas con la atención de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inducción, cuaderno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 Atención al Cliente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las funciones del puesto y los tipos de requerimientos recibidos.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y apoyar el registro de pagos reportados por los suscriptores.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cómo se reciben solicitudes de afiliación e incidencias.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y 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el recorrido básico de la información desde el contacto con el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esquema preliminar del flujo observado en Atención al Cliente.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buena disposición durante el proceso de inducción, adaptándose adecuadamente a las normas internas y demostrando interés en conocer el funcionamiento de Atención al Cliente y el manejo de las solicitudes de los suscriptores.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106"/>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3"/>
                          <pic:cNvPicPr>
                            <a:picLocks noChangeAspect="1" noChangeArrowheads="1"/>
                          </pic:cNvPicPr>
                        </pic:nvPicPr>
                        <pic:blipFill>
                          <a:blip r:embed="rId107"/>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
                    <pic:cNvPicPr>
                      <a:picLocks noChangeAspect="1" noChangeArrowheads="1"/>
                    </pic:cNvPicPr>
                  </pic:nvPicPr>
                  <pic:blipFill>
                    <a:blip r:embed="rId108"/>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las actividades de Atención al Cliente y levantar el recorrido de las solicitudes de afiliación e incidencias.</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de pagos informados por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Atención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datos básicos de afiliaciones e incidencias reportadas.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solicitudes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documentación básica asociada a solicitudes de servicio.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de clientes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hacia qué áreas se remiten los diferentes tipos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flujo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puntos donde la información cambia de responsable o pierde continuidad.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Bitácora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actividades de atención y mapa preliminar del proceso de solicitudes.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organización en el registro de pagos, revisión de expedientes y seguimiento inicial de las solicitudes recibidas.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2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5"/>
                          <pic:cNvPicPr>
                            <a:picLocks noChangeAspect="1" noChangeArrowheads="1"/>
                          </pic:cNvPicPr>
                        </pic:nvPicPr>
                        <pic:blipFill>
                          <a:blip r:embed="rId109"/>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2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pic:cNvPicPr>
                            <a:picLocks noChangeAspect="1" noChangeArrowheads="1"/>
                          </pic:cNvPicPr>
                        </pic:nvPicPr>
                        <pic:blipFill>
                          <a:blip r:embed="rId110"/>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111"/>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Continuar el apoyo en Atención al Cliente y diseñar la guía de entrevista estructurada para evaluar el seguimiento administrativo de las solicitudes.</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pagos y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Continuar el apoyo en recepción de pagos y requerimientos de clientes.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comprobantes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inicial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solicitudes remitidas a otras áreas.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 guía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Preparar preguntas sobre recepción, actualización, comunicación y cierre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la pertinencia de la guía y realizar ajustes antes de aplicarla.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Planificación de aplicación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las personas y momentos adecuados para aplicar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 de entrevista estructurada y registro actualizado del flujo observado.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capacidad de organización al continuar el seguimiento de los casos y preparar la guía de entrevista, mostrando receptividad ante las recomendaciones realizadas para mejorar el instrumento.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8"/>
                          <pic:cNvPicPr>
                            <a:picLocks noChangeAspect="1" noChangeArrowheads="1"/>
                          </pic:cNvPicPr>
                        </pic:nvPicPr>
                        <pic:blipFill>
                          <a:blip r:embed="rId112"/>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9"/>
                          <pic:cNvPicPr>
                            <a:picLocks noChangeAspect="1" noChangeArrowheads="1"/>
                          </pic:cNvPicPr>
                        </pic:nvPicPr>
                        <pic:blipFill>
                          <a:blip r:embed="rId113"/>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pic:cNvPicPr>
                      <a:picLocks noChangeAspect="1" noChangeArrowheads="1"/>
                    </pic:cNvPicPr>
                  </pic:nvPicPr>
                  <pic:blipFill>
                    <a:blip r:embed="rId114"/>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Iniciar la rotación por Administración, apoyar pagos y facturación, y aplicar entrevistas estructuradas para identificar deficiencias de control.</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Rotación a Administración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funciones administrativas relacionadas con pagos, facturación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verificación y registro administrativo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tareas de facturación y verificación de datos.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sistema de registro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estructurada al personal vinculado con el proceso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respuestas sobre demoras, comunicación y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Guías de entrevista aplicadas y matriz preliminar de hallazgos.</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se integró adecuadamente al Departamento de Administración, mostrando responsabilidad en las actividades de pagos y facturación. Aplicó las entrevistas de manera organizada y registró correctamente los principales hallazgos identificados.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1"/>
                          <pic:cNvPicPr>
                            <a:picLocks noChangeAspect="1" noChangeArrowheads="1"/>
                          </pic:cNvPicPr>
                        </pic:nvPicPr>
                        <pic:blipFill>
                          <a:blip r:embed="rId115"/>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2"/>
                          <pic:cNvPicPr>
                            <a:picLocks noChangeAspect="1" noChangeArrowheads="1"/>
                          </pic:cNvPicPr>
                        </pic:nvPicPr>
                        <pic:blipFill>
                          <a:blip r:embed="rId116"/>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3"/>
                    <pic:cNvPicPr>
                      <a:picLocks noChangeAspect="1" noChangeArrowheads="1"/>
                    </pic:cNvPicPr>
                  </pic:nvPicPr>
                  <pic:blipFill>
                    <a:blip r:embed="rId117"/>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Completar el diagnóstico de las deficiencias del control administrativo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facturación, actualización de registros y seguimiento de casos.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documentos administrativos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de registros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Contrastar solicitudes e incidencias para detectar retrasos y datos faltantes.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históricos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Representar las causas asociadas con procedimiento, comunicación, registro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las causas con las principales manifestaciones observadas.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hallazgos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Bases teóricas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Iniciar la redacción del Capítulo III sobre control administrativo y gestión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Bibliografía, 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Diagnóstico situacional, diagrama de Ishikawa y avance del marco teórico.</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demostró capacidad de análisis al identificar y organizar las causas asociadas con las deficiencias del control administrativo, desarrollando de forma adecuada el diagrama de Ishikawa y relacionándolo con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4"/>
                          <pic:cNvPicPr>
                            <a:picLocks noChangeAspect="1" noChangeArrowheads="1"/>
                          </pic:cNvPicPr>
                        </pic:nvPicPr>
                        <pic:blipFill>
                          <a:blip r:embed="rId118"/>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3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5"/>
                          <pic:cNvPicPr>
                            <a:picLocks noChangeAspect="1" noChangeArrowheads="1"/>
                          </pic:cNvPicPr>
                        </pic:nvPicPr>
                        <pic:blipFill>
                          <a:blip r:embed="rId119"/>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3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6"/>
                    <pic:cNvPicPr>
                      <a:picLocks noChangeAspect="1" noChangeArrowheads="1"/>
                    </pic:cNvPicPr>
                  </pic:nvPicPr>
                  <pic:blipFill>
                    <a:blip r:embed="rId120"/>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el impacto de las deficiencias detectadas y consolidar las bases teóricas del informe.</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Procesamiento de pagos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conciliación y registro de pagos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Comprobantes, 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y verificación de documentos de facturación.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Facturas,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casos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incidencias y solicitudes pendientes para comparar tiempos de atención.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Registros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Análisis de impacto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Relacionar los retrasos con problemas de trazabilidad y atención al suscriptor.</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matriz de análisis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Marco teórico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y revisar las bases teóricas y referencias utilizadas.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Análisis de impacto y Capítulo III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las actividades asignadas con responsabilidad, mostrando capacidad para relacionar las deficiencias identificadas con sus efectos sobre la trazabilidad y atención de las solicitudes, manteniendo además un buen desempeño en las labores administrativas.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3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7"/>
                          <pic:cNvPicPr>
                            <a:picLocks noChangeAspect="1" noChangeArrowheads="1"/>
                          </pic:cNvPicPr>
                        </pic:nvPicPr>
                        <pic:blipFill>
                          <a:blip r:embed="rId121"/>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pic:cNvPicPr>
                            <a:picLocks noChangeAspect="1" noChangeArrowheads="1"/>
                          </pic:cNvPicPr>
                        </pic:nvPicPr>
                        <pic:blipFill>
                          <a:blip r:embed="rId122"/>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9"/>
                    <pic:cNvPicPr>
                      <a:picLocks noChangeAspect="1" noChangeArrowheads="1"/>
                    </pic:cNvPicPr>
                  </pic:nvPicPr>
                  <pic:blipFill>
                    <a:blip r:embed="rId123"/>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estandarizado de gestión de solicitudes y continuar el apoyo en las tareas administrativas del área.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registros de solicitudes y casos activos.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reportes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preparación de reportes administrativos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la secuencia propuesta desde la recepción hasta el cierre del caso.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Responsables por etapa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Asignar el área responsable de registrar o actualizar cada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verificaciones y tiempos de referencia para el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Flujograma preliminar con etapas, responsables y puntos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mostró iniciativa en el diseño del flujo estandarizado, identificando de manera coherente las etapas, responsables y puntos de control necesarios. Asimismo, mantuvo una participación constante en las actividades administrativas del departamento.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0"/>
                          <pic:cNvPicPr>
                            <a:picLocks noChangeAspect="1" noChangeArrowheads="1"/>
                          </pic:cNvPicPr>
                        </pic:nvPicPr>
                        <pic:blipFill>
                          <a:blip r:embed="rId124"/>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1"/>
                          <pic:cNvPicPr>
                            <a:picLocks noChangeAspect="1" noChangeArrowheads="1"/>
                          </pic:cNvPicPr>
                        </pic:nvPicPr>
                        <pic:blipFill>
                          <a:blip r:embed="rId125"/>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2"/>
                    <pic:cNvPicPr>
                      <a:picLocks noChangeAspect="1" noChangeArrowheads="1"/>
                    </pic:cNvPicPr>
                  </pic:nvPicPr>
                  <pic:blipFill>
                    <a:blip r:embed="rId126"/>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y el procedimiento de control que acompaña al flujo propuesto.</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facturación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facturación y verificación de documentos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facturas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información de casos administrativos y revisar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casos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afiliaciones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el registro y seguimiento de nuevas afiliaciones.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incidencias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registrar incidencias y su estatus.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Procedimiento escrito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las reglas básicas de uso de los formatos y actualización del flujo.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afiliación e incidencias y procedimiento escrito en versión preliminar.</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desarrolló adecuadamente los formatos de afiliación e incidencias, demostrando orden y criterio administrativo en la selección de los datos necesarios para facilitar el registro, actualización y seguimiento de las solicitudes.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3"/>
                          <pic:cNvPicPr>
                            <a:picLocks noChangeAspect="1" noChangeArrowheads="1"/>
                          </pic:cNvPicPr>
                        </pic:nvPicPr>
                        <pic:blipFill>
                          <a:blip r:embed="rId127"/>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4"/>
                          <pic:cNvPicPr>
                            <a:picLocks noChangeAspect="1" noChangeArrowheads="1"/>
                          </pic:cNvPicPr>
                        </pic:nvPicPr>
                        <pic:blipFill>
                          <a:blip r:embed="rId128"/>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4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5"/>
                    <pic:cNvPicPr>
                      <a:picLocks noChangeAspect="1" noChangeArrowheads="1"/>
                    </pic:cNvPicPr>
                  </pic:nvPicPr>
                  <pic:blipFill>
                    <a:blip r:embed="rId129"/>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Formular y validar la propuesta de mejora del control administrativo, incorporando el flujograma y los formatos diseñados.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operativo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Participar en las actividades administrativas y de seguimiento de solicitudes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registros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diagnóstico, flujo, formatos y mecanismos de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Flujograma definitivo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Completar el diagrama del proceso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Validación con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al tutor industrial y registrar observaciones.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correcciones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de mejora revisada con flujograma y formatos de control.</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de mejora de manera organizada, demostrando dominio de los aspectos trabajados durante las pasantías. Recibió las observaciones realizadas con actitud receptiva e incorporó las correcciones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4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6"/>
                          <pic:cNvPicPr>
                            <a:picLocks noChangeAspect="1" noChangeArrowheads="1"/>
                          </pic:cNvPicPr>
                        </pic:nvPicPr>
                        <pic:blipFill>
                          <a:blip r:embed="rId130"/>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4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7"/>
                          <pic:cNvPicPr>
                            <a:picLocks noChangeAspect="1" noChangeArrowheads="1"/>
                          </pic:cNvPicPr>
                        </pic:nvPicPr>
                        <pic:blipFill>
                          <a:blip r:embed="rId131"/>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28"/>
                    <pic:cNvPicPr>
                      <a:picLocks noChangeAspect="1" noChangeArrowheads="1"/>
                    </pic:cNvPicPr>
                  </pic:nvPicPr>
                  <pic:blipFill>
                    <a:blip r:embed="rId132"/>
                    <a:stretch>
                      <a:fillRect/>
                    </a:stretch>
                  </pic:blipFill>
                  <pic:spPr bwMode="auto">
                    <a:xfrm>
                      <a:off x="0" y="0"/>
                      <a:ext cx="1440180" cy="58737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Ingeniería de Telecomunicaciones, C.A.</w:t>
      </w:r>
    </w:p>
    <w:p>
      <w:pPr>
        <w:pStyle w:val="Normal"/>
        <w:spacing w:lineRule="auto" w:line="276" w:before="0" w:after="40"/>
        <w:rPr/>
      </w:pPr>
      <w:r>
        <w:rPr>
          <w:b/>
          <w:sz w:val="24"/>
        </w:rPr>
        <w:t xml:space="preserve">DEPARTAMENTO: </w:t>
      </w:r>
      <w:r>
        <w:rPr>
          <w:sz w:val="24"/>
        </w:rPr>
        <w:t>Departamento de Administración</w:t>
      </w:r>
    </w:p>
    <w:p>
      <w:pPr>
        <w:pStyle w:val="Normal"/>
        <w:spacing w:lineRule="auto" w:line="276" w:before="0" w:after="40"/>
        <w:rPr/>
      </w:pPr>
      <w:r>
        <w:rPr>
          <w:b/>
          <w:sz w:val="24"/>
        </w:rPr>
        <w:t xml:space="preserve">ESPECIALIDAD: </w:t>
      </w:r>
      <w:r>
        <w:rPr>
          <w:sz w:val="24"/>
        </w:rPr>
        <w:t>Administración</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Alrifaaie Amaal |  C.I.: 31.985.792</w:t>
      </w:r>
    </w:p>
    <w:p>
      <w:pPr>
        <w:pStyle w:val="Normal"/>
        <w:spacing w:lineRule="auto" w:line="276" w:before="0" w:after="40"/>
        <w:rPr/>
      </w:pPr>
      <w:r>
        <w:rPr>
          <w:b/>
          <w:sz w:val="24"/>
        </w:rPr>
        <w:t xml:space="preserve">TUTOR INDUSTRIAL: </w:t>
      </w:r>
      <w:r>
        <w:rPr>
          <w:sz w:val="24"/>
        </w:rPr>
        <w:t>Lenny Mata  |  C.I.: 8969750</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Consolidar el informe final, presentar los resultados y completar los recaudos de cierre de las pasantías.</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márgenes, interlineado, paginación, índices y referencias conforme a IUTECP.</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institucional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resultados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el diagnóstico y la propuesta ante la supervisión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laptop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final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Corregir ortografía y coherencia entre objetivos, cronograma, actividades y conclusiones.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firmas, sello y documentación de culminación.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bl>
    <w:p>
      <w:pPr>
        <w:pStyle w:val="Normal"/>
        <w:rPr/>
      </w:pPr>
      <w:r>
        <w:rPr/>
      </w:r>
    </w:p>
    <w:p>
      <w:pPr>
        <w:pStyle w:val="Normal"/>
        <w:spacing w:before="0" w:after="80"/>
        <w:rPr/>
      </w:pPr>
      <w:r>
        <w:rPr>
          <w:b/>
          <w:sz w:val="24"/>
        </w:rPr>
        <w:t>ENTREGABLES DE LA SEMANA:</w:t>
      </w:r>
    </w:p>
    <w:p>
      <w:pPr>
        <w:pStyle w:val="Normal"/>
        <w:spacing w:lineRule="auto" w:line="360" w:before="0" w:after="0"/>
        <w:jc w:val="both"/>
        <w:rPr/>
      </w:pPr>
      <w:r>
        <w:rPr>
          <w:b w:val="false"/>
          <w:sz w:val="24"/>
        </w:rPr>
        <w:t>Informe final, propuesta presentada y recaudos institucionales de cierre.</w:t>
      </w:r>
    </w:p>
    <w:p>
      <w:pPr>
        <w:pStyle w:val="Normal"/>
        <w:rPr/>
      </w:pPr>
      <w:r>
        <w:rPr/>
      </w:r>
    </w:p>
    <w:p>
      <w:pPr>
        <w:pStyle w:val="Normal"/>
        <w:keepNext w:val="true"/>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su período de pasantías, demostrando responsabilidad, puntualidad, disposición para recibir orientaciones y cumplimiento de las actividades asignadas. Se evidenció un progreso favorable en el manejo de los procesos administrativos y en la formulación de propuestas de mejora.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jc w:val="center"/>
              <w:rPr/>
            </w:pPr>
            <w:r>
              <w:rPr/>
              <w:drawing>
                <wp:inline distT="0" distB="0" distL="0" distR="0">
                  <wp:extent cx="1259840" cy="641985"/>
                  <wp:effectExtent l="0" t="0" r="0" b="0"/>
                  <wp:docPr id="5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9"/>
                          <pic:cNvPicPr>
                            <a:picLocks noChangeAspect="1" noChangeArrowheads="1"/>
                          </pic:cNvPicPr>
                        </pic:nvPicPr>
                        <pic:blipFill>
                          <a:blip r:embed="rId133"/>
                          <a:stretch>
                            <a:fillRect/>
                          </a:stretch>
                        </pic:blipFill>
                        <pic:spPr bwMode="auto">
                          <a:xfrm>
                            <a:off x="0" y="0"/>
                            <a:ext cx="1259840" cy="641985"/>
                          </a:xfrm>
                          <a:prstGeom prst="rect">
                            <a:avLst/>
                          </a:prstGeom>
                          <a:noFill/>
                        </pic:spPr>
                      </pic:pic>
                    </a:graphicData>
                  </a:graphic>
                </wp:inline>
              </w:drawing>
            </w:r>
          </w:p>
        </w:tc>
        <w:tc>
          <w:tcPr>
            <w:tcW w:w="4135" w:type="dxa"/>
            <w:tcBorders/>
          </w:tcPr>
          <w:p>
            <w:pPr>
              <w:pStyle w:val="Normal"/>
              <w:jc w:val="center"/>
              <w:rPr/>
            </w:pPr>
            <w:r>
              <w:rPr/>
              <w:drawing>
                <wp:inline distT="0" distB="0" distL="0" distR="0">
                  <wp:extent cx="1259840" cy="493395"/>
                  <wp:effectExtent l="0" t="0" r="0" b="0"/>
                  <wp:docPr id="5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0"/>
                          <pic:cNvPicPr>
                            <a:picLocks noChangeAspect="1" noChangeArrowheads="1"/>
                          </pic:cNvPicPr>
                        </pic:nvPicPr>
                        <pic:blipFill>
                          <a:blip r:embed="rId134"/>
                          <a:stretch>
                            <a:fillRect/>
                          </a:stretch>
                        </pic:blipFill>
                        <pic:spPr bwMode="auto">
                          <a:xfrm>
                            <a:off x="0" y="0"/>
                            <a:ext cx="1259840" cy="493395"/>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Alrifaaie Amaal |  C.I.: 31.985.792</w:t>
            </w:r>
          </w:p>
        </w:tc>
        <w:tc>
          <w:tcPr>
            <w:tcW w:w="4135" w:type="dxa"/>
            <w:tcBorders/>
            <w:vAlign w:val="center"/>
          </w:tcPr>
          <w:p>
            <w:pPr>
              <w:pStyle w:val="Normal"/>
              <w:spacing w:lineRule="auto" w:line="240" w:before="80" w:after="80"/>
              <w:jc w:val="center"/>
              <w:rPr/>
            </w:pPr>
            <w:r>
              <w:rPr>
                <w:b w:val="false"/>
                <w:sz w:val="18"/>
              </w:rPr>
              <w:t>Firma del Tutor Industrial:</w:t>
              <w:br/>
              <w:t>Lenny Mata  |  C.I.: 8969750</w:t>
            </w:r>
          </w:p>
        </w:tc>
      </w:tr>
    </w:tbl>
    <w:p>
      <w:pPr>
        <w:pStyle w:val="Normal"/>
        <w:rPr/>
      </w:pPr>
      <w:r>
        <w:rPr/>
      </w:r>
    </w:p>
    <w:p>
      <w:pPr>
        <w:pStyle w:val="Normal"/>
        <w:spacing w:before="240" w:after="200"/>
        <w:jc w:val="center"/>
        <w:rPr/>
      </w:pPr>
      <w:r>
        <w:rPr/>
        <w:drawing>
          <wp:inline distT="0" distB="0" distL="0" distR="0">
            <wp:extent cx="1440180" cy="587375"/>
            <wp:effectExtent l="0" t="0" r="0" b="0"/>
            <wp:docPr id="5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1"/>
                    <pic:cNvPicPr>
                      <a:picLocks noChangeAspect="1" noChangeArrowheads="1"/>
                    </pic:cNvPicPr>
                  </pic:nvPicPr>
                  <pic:blipFill>
                    <a:blip r:embed="rId135"/>
                    <a:stretch>
                      <a:fillRect/>
                    </a:stretch>
                  </pic:blipFill>
                  <pic:spPr bwMode="auto">
                    <a:xfrm>
                      <a:off x="0" y="0"/>
                      <a:ext cx="1440180" cy="587375"/>
                    </a:xfrm>
                    <a:prstGeom prst="rect">
                      <a:avLst/>
                    </a:prstGeom>
                    <a:noFill/>
                  </pic:spPr>
                </pic:pic>
              </a:graphicData>
            </a:graphic>
          </wp:inline>
        </w:drawing>
      </w:r>
    </w:p>
    <w:p>
      <w:pPr>
        <w:pStyle w:val="Normal"/>
        <w:rPr/>
      </w:pPr>
      <w:r>
        <w:rPr/>
      </w:r>
    </w:p>
    <w:sectPr>
      <w:footerReference w:type="even" r:id="rId136"/>
      <w:footerReference w:type="default" r:id="rId137"/>
      <w:footerReference w:type="first" r:id="rId138"/>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18</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27</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i w:val="false"/>
        <w:sz w:val="24"/>
      </w:rPr>
      <w:fldChar w:fldCharType="begin"/>
    </w:r>
    <w:r>
      <w:rPr>
        <w:i w:val="false"/>
        <w:sz w:val="24"/>
      </w:rPr>
      <w:instrText xml:space="preserve"> PAGE </w:instrText>
    </w:r>
    <w:r>
      <w:rPr>
        <w:i w:val="false"/>
        <w:sz w:val="24"/>
      </w:rPr>
      <w:fldChar w:fldCharType="separate"/>
    </w:r>
    <w:r>
      <w:rPr>
        <w:i w:val="false"/>
        <w:sz w:val="24"/>
      </w:rPr>
      <w:t>62</w:t>
    </w:r>
    <w:r>
      <w:rPr>
        <w:i w:val="false"/>
        <w:sz w:val="24"/>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footer" Target="footer37.xml"/><Relationship Id="rId42" Type="http://schemas.openxmlformats.org/officeDocument/2006/relationships/footer" Target="footer38.xml"/><Relationship Id="rId43" Type="http://schemas.openxmlformats.org/officeDocument/2006/relationships/footer" Target="footer39.xml"/><Relationship Id="rId44" Type="http://schemas.openxmlformats.org/officeDocument/2006/relationships/image" Target="media/image4.jpeg"/><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footer" Target="footer70.xml"/><Relationship Id="rId84" Type="http://schemas.openxmlformats.org/officeDocument/2006/relationships/footer" Target="footer71.xml"/><Relationship Id="rId85" Type="http://schemas.openxmlformats.org/officeDocument/2006/relationships/footer" Target="footer72.xml"/><Relationship Id="rId86" Type="http://schemas.openxmlformats.org/officeDocument/2006/relationships/image" Target="media/image13.png"/><Relationship Id="rId87" Type="http://schemas.openxmlformats.org/officeDocument/2006/relationships/footer" Target="footer73.xml"/><Relationship Id="rId88" Type="http://schemas.openxmlformats.org/officeDocument/2006/relationships/footer" Target="footer74.xml"/><Relationship Id="rId89" Type="http://schemas.openxmlformats.org/officeDocument/2006/relationships/footer" Target="footer75.xml"/><Relationship Id="rId90" Type="http://schemas.openxmlformats.org/officeDocument/2006/relationships/image" Target="media/image14.png"/><Relationship Id="rId91" Type="http://schemas.openxmlformats.org/officeDocument/2006/relationships/footer" Target="footer76.xml"/><Relationship Id="rId92" Type="http://schemas.openxmlformats.org/officeDocument/2006/relationships/footer" Target="footer77.xml"/><Relationship Id="rId93" Type="http://schemas.openxmlformats.org/officeDocument/2006/relationships/footer" Target="footer78.xml"/><Relationship Id="rId94" Type="http://schemas.openxmlformats.org/officeDocument/2006/relationships/image" Target="media/image15.png"/><Relationship Id="rId95" Type="http://schemas.openxmlformats.org/officeDocument/2006/relationships/footer" Target="footer79.xml"/><Relationship Id="rId96" Type="http://schemas.openxmlformats.org/officeDocument/2006/relationships/footer" Target="footer80.xml"/><Relationship Id="rId97" Type="http://schemas.openxmlformats.org/officeDocument/2006/relationships/footer" Target="footer81.xml"/><Relationship Id="rId98" Type="http://schemas.openxmlformats.org/officeDocument/2006/relationships/image" Target="media/image16.jpeg"/><Relationship Id="rId99" Type="http://schemas.openxmlformats.org/officeDocument/2006/relationships/image" Target="media/image17.jpeg"/><Relationship Id="rId100" Type="http://schemas.openxmlformats.org/officeDocument/2006/relationships/image" Target="media/image18.jpeg"/><Relationship Id="rId101" Type="http://schemas.openxmlformats.org/officeDocument/2006/relationships/image" Target="media/image19.jpeg"/><Relationship Id="rId102" Type="http://schemas.openxmlformats.org/officeDocument/2006/relationships/image" Target="media/image20.jpeg"/><Relationship Id="rId103" Type="http://schemas.openxmlformats.org/officeDocument/2006/relationships/image" Target="media/image21.jpeg"/><Relationship Id="rId104" Type="http://schemas.openxmlformats.org/officeDocument/2006/relationships/image" Target="media/image22.jpeg"/><Relationship Id="rId105" Type="http://schemas.openxmlformats.org/officeDocument/2006/relationships/image" Target="media/image23.jpeg"/><Relationship Id="rId106" Type="http://schemas.openxmlformats.org/officeDocument/2006/relationships/image" Target="media/image24.png"/><Relationship Id="rId107" Type="http://schemas.openxmlformats.org/officeDocument/2006/relationships/image" Target="media/image2.png"/><Relationship Id="rId108" Type="http://schemas.openxmlformats.org/officeDocument/2006/relationships/image" Target="media/image25.png"/><Relationship Id="rId109" Type="http://schemas.openxmlformats.org/officeDocument/2006/relationships/image" Target="media/image24.png"/><Relationship Id="rId110" Type="http://schemas.openxmlformats.org/officeDocument/2006/relationships/image" Target="media/image2.png"/><Relationship Id="rId111" Type="http://schemas.openxmlformats.org/officeDocument/2006/relationships/image" Target="media/image25.png"/><Relationship Id="rId112" Type="http://schemas.openxmlformats.org/officeDocument/2006/relationships/image" Target="media/image24.png"/><Relationship Id="rId113" Type="http://schemas.openxmlformats.org/officeDocument/2006/relationships/image" Target="media/image2.png"/><Relationship Id="rId114" Type="http://schemas.openxmlformats.org/officeDocument/2006/relationships/image" Target="media/image25.png"/><Relationship Id="rId115" Type="http://schemas.openxmlformats.org/officeDocument/2006/relationships/image" Target="media/image24.png"/><Relationship Id="rId116" Type="http://schemas.openxmlformats.org/officeDocument/2006/relationships/image" Target="media/image2.png"/><Relationship Id="rId117" Type="http://schemas.openxmlformats.org/officeDocument/2006/relationships/image" Target="media/image25.png"/><Relationship Id="rId118" Type="http://schemas.openxmlformats.org/officeDocument/2006/relationships/image" Target="media/image24.png"/><Relationship Id="rId119" Type="http://schemas.openxmlformats.org/officeDocument/2006/relationships/image" Target="media/image2.png"/><Relationship Id="rId120" Type="http://schemas.openxmlformats.org/officeDocument/2006/relationships/image" Target="media/image25.png"/><Relationship Id="rId121" Type="http://schemas.openxmlformats.org/officeDocument/2006/relationships/image" Target="media/image24.png"/><Relationship Id="rId122" Type="http://schemas.openxmlformats.org/officeDocument/2006/relationships/image" Target="media/image2.png"/><Relationship Id="rId123" Type="http://schemas.openxmlformats.org/officeDocument/2006/relationships/image" Target="media/image25.png"/><Relationship Id="rId124" Type="http://schemas.openxmlformats.org/officeDocument/2006/relationships/image" Target="media/image24.png"/><Relationship Id="rId125" Type="http://schemas.openxmlformats.org/officeDocument/2006/relationships/image" Target="media/image2.png"/><Relationship Id="rId126" Type="http://schemas.openxmlformats.org/officeDocument/2006/relationships/image" Target="media/image25.png"/><Relationship Id="rId127" Type="http://schemas.openxmlformats.org/officeDocument/2006/relationships/image" Target="media/image24.png"/><Relationship Id="rId128" Type="http://schemas.openxmlformats.org/officeDocument/2006/relationships/image" Target="media/image2.png"/><Relationship Id="rId129" Type="http://schemas.openxmlformats.org/officeDocument/2006/relationships/image" Target="media/image25.png"/><Relationship Id="rId130" Type="http://schemas.openxmlformats.org/officeDocument/2006/relationships/image" Target="media/image24.png"/><Relationship Id="rId131" Type="http://schemas.openxmlformats.org/officeDocument/2006/relationships/image" Target="media/image2.png"/><Relationship Id="rId132" Type="http://schemas.openxmlformats.org/officeDocument/2006/relationships/image" Target="media/image25.png"/><Relationship Id="rId133" Type="http://schemas.openxmlformats.org/officeDocument/2006/relationships/image" Target="media/image24.png"/><Relationship Id="rId134" Type="http://schemas.openxmlformats.org/officeDocument/2006/relationships/image" Target="media/image2.png"/><Relationship Id="rId135" Type="http://schemas.openxmlformats.org/officeDocument/2006/relationships/image" Target="media/image25.png"/><Relationship Id="rId136" Type="http://schemas.openxmlformats.org/officeDocument/2006/relationships/footer" Target="footer82.xml"/><Relationship Id="rId137" Type="http://schemas.openxmlformats.org/officeDocument/2006/relationships/footer" Target="footer83.xml"/><Relationship Id="rId138" Type="http://schemas.openxmlformats.org/officeDocument/2006/relationships/footer" Target="footer84.xml"/><Relationship Id="rId139" Type="http://schemas.openxmlformats.org/officeDocument/2006/relationships/numbering" Target="numbering.xml"/><Relationship Id="rId140" Type="http://schemas.openxmlformats.org/officeDocument/2006/relationships/fontTable" Target="fontTable.xml"/><Relationship Id="rId141" Type="http://schemas.openxmlformats.org/officeDocument/2006/relationships/settings" Target="settings.xml"/><Relationship Id="rId142" Type="http://schemas.openxmlformats.org/officeDocument/2006/relationships/theme" Target="theme/theme1.xml"/><Relationship Id="rId14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2026-08-19T00:30:33Z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