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20" w:after="120"/>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2044"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2281"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2033"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297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033"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745"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2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la Empresa Mixta Petrolera Venangocupet, S.A., entidad filial de la Corporación Venezolana de Petróleo (CVP). Su actividad principal se centra en la exploración y producción primaria de hidrocarburos, operando bajo los lineamientos estratégicos de la División Ayacucho de la Faja Petrolífera del Orinoco.</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Maximizar la recuperación eficiente y segura de las reservas de hidrocarburos asignadas.</w:t>
      </w:r>
    </w:p>
    <w:p>
      <w:pPr>
        <w:spacing w:line="360" w:lineRule="auto"/>
        <w:ind w:firstLine="709"/>
        <w:jc w:val="both"/>
      </w:pPr>
      <w:r>
        <w:rPr>
          <w:rFonts w:ascii="Times New Roman" w:hAnsi="Times New Roman"/>
          <w:sz w:val="24"/>
        </w:rPr>
        <w:t xml:space="preserve">2.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3. </w:t>
      </w:r>
      <w:r>
        <w:rPr>
          <w:rFonts w:ascii="Times New Roman" w:hAnsi="Times New Roman"/>
          <w:sz w:val="24"/>
        </w:rPr>
        <w:t>Garantizar la trazabilidad y el reporte oportuno de la información administrativa de la empresa.</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701"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98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4448"/>
        <w:gridCol w:w="424"/>
        <w:gridCol w:w="424"/>
        <w:gridCol w:w="424"/>
        <w:gridCol w:w="424"/>
        <w:gridCol w:w="424"/>
        <w:gridCol w:w="424"/>
        <w:gridCol w:w="424"/>
        <w:gridCol w:w="424"/>
        <w:gridCol w:w="424"/>
      </w:tblGrid>
      <w:tr>
        <w:tc>
          <w:tcPr>
            <w:tcW w:w="4448"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c>
          <w:tcPr>
            <w:tcW w:w="424" w:type="dxa"/>
            <w:shd w:val="clear" w:color="auto" w:fill="4472C4"/>
          </w:tcPr>
          <w:p>
            <w:pPr>
              <w:spacing w:before="60" w:after="60" w:line="240" w:lineRule="auto"/>
              <w:jc w:val="center"/>
            </w:pPr>
            <w:r>
              <w:rPr>
                <w:rFonts w:ascii="Times New Roman" w:hAnsi="Times New Roman"/>
                <w:b/>
                <w:color w:val="FFFFFF"/>
                <w:sz w:val="18"/>
              </w:rPr>
              <w:t>S6</w:t>
            </w:r>
          </w:p>
        </w:tc>
        <w:tc>
          <w:tcPr>
            <w:tcW w:w="424" w:type="dxa"/>
            <w:shd w:val="clear" w:color="auto" w:fill="4472C4"/>
          </w:tcPr>
          <w:p>
            <w:pPr>
              <w:spacing w:before="60" w:after="60" w:line="240" w:lineRule="auto"/>
              <w:jc w:val="center"/>
            </w:pPr>
            <w:r>
              <w:rPr>
                <w:rFonts w:ascii="Times New Roman" w:hAnsi="Times New Roman"/>
                <w:b/>
                <w:color w:val="FFFFFF"/>
                <w:sz w:val="18"/>
              </w:rPr>
              <w:t>S7</w:t>
            </w:r>
          </w:p>
        </w:tc>
        <w:tc>
          <w:tcPr>
            <w:tcW w:w="424" w:type="dxa"/>
            <w:shd w:val="clear" w:color="auto" w:fill="4472C4"/>
          </w:tcPr>
          <w:p>
            <w:pPr>
              <w:spacing w:before="60" w:after="60" w:line="240" w:lineRule="auto"/>
              <w:jc w:val="center"/>
            </w:pPr>
            <w:r>
              <w:rPr>
                <w:rFonts w:ascii="Times New Roman" w:hAnsi="Times New Roman"/>
                <w:b/>
                <w:color w:val="FFFFFF"/>
                <w:sz w:val="18"/>
              </w:rPr>
              <w:t>S8</w:t>
            </w:r>
          </w:p>
        </w:tc>
        <w:tc>
          <w:tcPr>
            <w:tcW w:w="424" w:type="dxa"/>
            <w:shd w:val="clear" w:color="auto" w:fill="4472C4"/>
          </w:tcPr>
          <w:p>
            <w:pPr>
              <w:spacing w:before="60" w:after="60" w:line="240" w:lineRule="auto"/>
              <w:jc w:val="center"/>
            </w:pPr>
            <w:r>
              <w:rPr>
                <w:rFonts w:ascii="Times New Roman" w:hAnsi="Times New Roman"/>
                <w:b/>
                <w:color w:val="FFFFFF"/>
                <w:sz w:val="18"/>
              </w:rPr>
              <w:t>S9</w:t>
            </w:r>
          </w:p>
        </w:tc>
      </w:tr>
      <w:tr>
        <w:tc>
          <w:tcPr>
            <w:tcW w:w="4448" w:type="dxa"/>
            <w:shd w:val="clear" w:color="auto" w:fill="FFFFFF"/>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Implementación de la base de datos relacional en SQLite.</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Desarrollo de la interfaz gráfica y empaquetado con Wails.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4448"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Apoyo en generación de reportes y cierre administrativo.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8"/>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0"/>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1"/>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3"/>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