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3260"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630"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DESARROLLO DE UN PROTOTIPO DE SISTEMA PARA EL CONTROL, TRAZABILIDAD Y REPORTE DOCUMENTAL EN LA PRESIDENCIA DE VENANGOCUPET, S.A.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323"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8"/>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0"/>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3"/>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7"/>
          <w:pgSz w:w="12240" w:h="15840"/>
          <w:pgMar w:top="1701" w:right="1701" w:bottom="1701" w:left="2268" w:header="720" w:footer="720" w:gutter="0"/>
          <w:cols w:space="720"/>
          <w:titlePg/>
          <w:docGrid w:linePitch="360"/>
        </w:sectPr>
      </w:pPr>
    </w:p>
    <w:p>
      <w:pPr>
        <w:sectPr>
          <w:footerReference w:type="default" r:id="rId28"/>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2"/>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4"/>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7"/>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la Empresa Mixta Petrolera Venangocupet, S.A.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9"/>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41"/>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4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3"/>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normalización del esquema propuesto y elaboración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Implementación de la estructura relacional en SQLite, carga de registros de prueba, construcción de formularios de captura y programación de consultas de trazabilidad.</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estructuración de los módulos de la interfaz y organización del código fuente del prototipo.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Desarrollo de los módulos de consulta e historial de movimientos e integración de la visualización de expedientes asociados a cada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Wails, integración del entorno visual y generación de un ejecutable autónomo para las pruebas funcionales del prototipo.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de pasantías, elaboración del manual de usuario y organización técnica del código fuente y los entregables del prototipo.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del informe académico, incorporación de las observaciones recibidas y preparación de los anexos definitivos para la entrega institucional.</w:t>
      </w:r>
    </w:p>
    <w:p>
      <w:pPr>
        <w:sectPr>
          <w:footerReference w:type="default" r:id="rId4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5"/>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control manual en hojas de cálculo puede generar cuellos de botella cuando aumenta la concurrencia de expedientes, debido a la repetición de datos y a la ausencia de validaciones automáticas que faciliten el seguimiento del recorrido documental.</w:t>
      </w:r>
    </w:p>
    <w:p>
      <w:pPr>
        <w:spacing w:line="360" w:lineRule="auto"/>
        <w:ind w:firstLine="709"/>
        <w:jc w:val="both"/>
      </w:pPr>
      <w:r>
        <w:rPr>
          <w:rFonts w:ascii="Times New Roman" w:hAnsi="Times New Roman"/>
          <w:sz w:val="24"/>
        </w:rPr>
        <w:t xml:space="preserve">2. </w:t>
      </w:r>
      <w:r>
        <w:rPr>
          <w:rFonts w:ascii="Times New Roman" w:hAnsi="Times New Roman"/>
          <w:sz w:val="24"/>
        </w:rPr>
        <w:t>Se determinaron como requerimientos esenciales del sistema el registro de ingreso y egreso de expedientes, la asociación de múltiples documentos con un mismo proceso, la consulta del historial de movimientos y la generación de reportes resumidos para la Presidencia.</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relacional normalizada con SQLite y una interfaz de escritorio orientada a conservar una dinámica de uso sencilla, representando la relación uno a muchos entre procesos y documentos sin alterar el flujo operativo del departamento.</w:t>
      </w:r>
    </w:p>
    <w:p>
      <w:pPr>
        <w:spacing w:line="360" w:lineRule="auto"/>
        <w:ind w:firstLine="709"/>
        <w:jc w:val="both"/>
      </w:pPr>
      <w:r>
        <w:rPr>
          <w:rFonts w:ascii="Times New Roman" w:hAnsi="Times New Roman"/>
          <w:sz w:val="24"/>
        </w:rPr>
        <w:t xml:space="preserve">4. </w:t>
      </w:r>
      <w:r>
        <w:rPr>
          <w:rFonts w:ascii="Times New Roman" w:hAnsi="Times New Roman"/>
          <w:sz w:val="24"/>
        </w:rPr>
        <w:t>Se implementó y validó un prototipo funcional que integra los módulos de registro, consulta, historial y reporte, demostrando la viabilidad técnica de automatizar el control documental y reducir la dependencia de operaciones manuales repetitivas.</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Incorporar progresivamente al sistema los registros históricos que deban conservarse para consulta, verificando previamente la integridad de la información antes de su migración.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del Departamento de Presidencia en el uso de los módulos de registro, consulta, historial y generación de reportes, utilizando ejemplos del flujo cotidiano de expedientes.</w:t>
      </w:r>
    </w:p>
    <w:p>
      <w:pPr>
        <w:spacing w:line="360" w:lineRule="auto"/>
        <w:ind w:firstLine="709"/>
        <w:jc w:val="both"/>
      </w:pPr>
      <w:r>
        <w:rPr>
          <w:rFonts w:ascii="Times New Roman" w:hAnsi="Times New Roman"/>
          <w:sz w:val="24"/>
        </w:rPr>
        <w:t xml:space="preserve">3. </w:t>
      </w:r>
      <w:r>
        <w:rPr>
          <w:rFonts w:ascii="Times New Roman" w:hAnsi="Times New Roman"/>
          <w:sz w:val="24"/>
        </w:rPr>
        <w:t>Establecer una rutina periódica de respaldo del archivo de base de datos en una ubicación segura y definida por la organización, con el fin de preservar la continuidad del historial documental.</w:t>
      </w:r>
    </w:p>
    <w:p>
      <w:pPr>
        <w:spacing w:line="360" w:lineRule="auto"/>
        <w:ind w:firstLine="709"/>
        <w:jc w:val="both"/>
      </w:pPr>
      <w:r>
        <w:rPr>
          <w:rFonts w:ascii="Times New Roman" w:hAnsi="Times New Roman"/>
          <w:sz w:val="24"/>
        </w:rPr>
        <w:t xml:space="preserve">4. </w:t>
      </w:r>
      <w:r>
        <w:rPr>
          <w:rFonts w:ascii="Times New Roman" w:hAnsi="Times New Roman"/>
          <w:sz w:val="24"/>
        </w:rPr>
        <w:t>Evaluar en fases posteriores la incorporación de nuevas funciones únicamente cuando respondan a necesidades reales del flujo de Presidencia, evitando agregar pasos que compliquen el proceso actual.</w:t>
      </w:r>
    </w:p>
    <w:p>
      <w:pPr>
        <w:sectPr>
          <w:footerReference w:type="default" r:id="rId46"/>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7"/>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8"/>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9"/>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3960000" cy="2317669"/>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3960000" cy="2317669"/>
                    </a:xfrm>
                    <a:prstGeom prst="rect"/>
                  </pic:spPr>
                </pic:pic>
              </a:graphicData>
            </a:graphic>
          </wp:inline>
        </w:drawing>
      </w:r>
    </w:p>
    <w:sectPr w:rsidR="00FC693F" w:rsidRPr="0006063C" w:rsidSect="00034616">
      <w:footerReference w:type="default" r:id="rId5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 Id="rId43" Type="http://schemas.openxmlformats.org/officeDocument/2006/relationships/footer" Target="footer29.xml"/><Relationship Id="rId44" Type="http://schemas.openxmlformats.org/officeDocument/2006/relationships/footer" Target="footer30.xml"/><Relationship Id="rId45" Type="http://schemas.openxmlformats.org/officeDocument/2006/relationships/footer" Target="footer31.xml"/><Relationship Id="rId46" Type="http://schemas.openxmlformats.org/officeDocument/2006/relationships/footer" Target="footer32.xml"/><Relationship Id="rId47" Type="http://schemas.openxmlformats.org/officeDocument/2006/relationships/footer" Target="footer33.xml"/><Relationship Id="rId48" Type="http://schemas.openxmlformats.org/officeDocument/2006/relationships/footer" Target="footer34.xml"/><Relationship Id="rId49" Type="http://schemas.openxmlformats.org/officeDocument/2006/relationships/footer" Target="footer35.xml"/><Relationship Id="rId50"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