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DESARROLLO DE UN PROTOTIPO DE SISTEMA PARA EL CONTROL, TRAZABILIDAD Y REPORTE DOCUMENTAL EN LA PRESIDENCIA DE VENANGOCUPET, S.A.</w:t>
      </w:r>
    </w:p>
    <w:p>
      <w:pPr>
        <w:spacing w:line="276" w:lineRule="auto" w:before="3260"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630" w:after="0"/>
        <w:jc w:val="center"/>
      </w:pPr>
      <w:r>
        <w:rPr>
          <w:rFonts w:ascii="Times New Roman" w:hAnsi="Times New Roman"/>
          <w:sz w:val="24"/>
        </w:rPr>
        <w:t>El Tigre, agosto de 2026</w:t>
      </w:r>
    </w:p>
    <w:p>
      <w:pPr>
        <w:sectPr>
          <w:footerReference w:type="default" r:id="rId15"/>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DESARROLLO DE UN PROTOTIPO DE SISTEMA PARA EL CONTROL, TRAZABILIDAD Y REPORTE DOCUMENTAL EN LA PRESIDENCIA DE VENANGOCUPET, S.A.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Ing. Mejías, José</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1323" w:after="0"/>
        <w:jc w:val="center"/>
      </w:pPr>
      <w:r>
        <w:rPr>
          <w:rFonts w:ascii="Times New Roman" w:hAnsi="Times New Roman"/>
          <w:sz w:val="24"/>
        </w:rPr>
        <w:t>El Tigre, agosto de 2026</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“DESARROLLO DE UN PROTOTIPO DE SISTEMA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7"/>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“DESARROLLO DE UN PROTOTIPO DE SISTEMA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Mejías, José</w:t>
      </w:r>
    </w:p>
    <w:p>
      <w:pPr>
        <w:spacing w:before="0"/>
        <w:jc w:val="center"/>
      </w:pPr>
      <w:r>
        <w:rPr>
          <w:rFonts w:ascii="Times New Roman" w:hAnsi="Times New Roman"/>
          <w:sz w:val="24"/>
        </w:rPr>
        <w:t>C.I.: 4.273.815</w:t>
      </w:r>
    </w:p>
    <w:p>
      <w:pPr>
        <w:sectPr>
          <w:footerReference w:type="default" r:id="rId18"/>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20"/>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2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3"/>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sectPr>
          <w:footerReference w:type="default" r:id="rId26"/>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7"/>
          <w:pgSz w:w="12240" w:h="15840"/>
          <w:pgMar w:top="1701" w:right="1701" w:bottom="1701" w:left="2268" w:header="720" w:footer="720" w:gutter="0"/>
          <w:cols w:space="720"/>
          <w:titlePg/>
          <w:docGrid w:linePitch="360"/>
        </w:sectPr>
      </w:pPr>
    </w:p>
    <w:p>
      <w:pPr>
        <w:sectPr>
          <w:footerReference w:type="default" r:id="rId28"/>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la Empresa Mixta Petrolera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Referencia cartográfica de la ubicación de las oficinas administrativas de Venangocupet, 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Venangocupet, S.A.</w:t>
        <w:tab/>
      </w:r>
      <w:r>
        <w:rPr>
          <w:rFonts w:ascii="Times New Roman" w:hAnsi="Times New Roman"/>
          <w:b w:val="0"/>
          <w:sz w:val="24"/>
        </w:rPr>
        <w:fldChar w:fldCharType="begin"/>
        <w:instrText xml:space="preserve"> PAGEREF bm_grafico3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4</w:t>
        <w:tab/>
        <w:t>Organigrama del Departamento de Presidencia</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30"/>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31"/>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2"/>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DESARROLLO DE UN PROTOTIPO DE SISTEMA PARA EL CONTROL, TRAZABILIDAD Y REPORTE DOCUMENTAL EN LA PRESIDENCIA DE VENANGOCUPET, S.A.</w:t>
      </w:r>
    </w:p>
    <w:p>
      <w:pPr>
        <w:spacing w:after="480"/>
        <w:ind w:left="0"/>
        <w:jc w:val="right"/>
      </w:pPr>
      <w:r>
        <w:rPr>
          <w:rFonts w:ascii="Times New Roman" w:hAnsi="Times New Roman"/>
          <w:b/>
          <w:sz w:val="24"/>
        </w:rPr>
        <w:t>Autor:</w:t>
        <w:br/>
      </w:r>
      <w:r>
        <w:rPr>
          <w:rFonts w:ascii="Times New Roman" w:hAnsi="Times New Roman"/>
          <w:sz w:val="24"/>
        </w:rPr>
        <w:t>Cardona, Juliano</w:t>
        <w:br/>
      </w:r>
      <w:r>
        <w:rPr>
          <w:rFonts w:ascii="Times New Roman" w:hAnsi="Times New Roman"/>
          <w:sz w:val="24"/>
        </w:rPr>
        <w:t>C.I.: 32.281.199</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3"/>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expone las actividades realizadas durante nueve (9) semanas de pasantías profesionales en el Departamento de Presidencia de la Empresa Mixta Petrolera Venangocupet, S.A. La práctica permitió reconocer el flujo real de recepción, revisión, registro, firma y despacho de expedientes, cuyo control se efectúa mediante hojas de cálculo y requiere transcripción repetitiva de datos. Esta dinámica puede generar duplicidad u omisión de registros y dificulta la obtención inmediata de resúmenes sobre documentos ingresados, firmados, pendientes o despachados. En respuesta a esta situación se planteó como objetivo general desarrollar un sistema automatizado para el control, trazabilidad y reporte documental del área. Las actividades comprendieron el diagnóstico del proceso, levantamiento de requerimientos, modelado de una base de datos relacional, diseño de la interfaz, implementación con SQLite, integración de una aplicación de escritorio y pruebas funcionales de los módulos de registro, consulta, historial y reportes. Como resultado se obtuvo un prototipo funcional orientado a reducir tareas repetitivas y mantener un historial verificable del recorrido de los expedientes. Se concluye que la solución desarrollada responde a los requerimientos esenciales identificados en Presidencia. Se recomienda realizar una incorporación progresiva de los registros y establecer respaldos periódicos de la base de datos antes de su utilización continua.</w:t>
      </w:r>
    </w:p>
    <w:p/>
    <w:p>
      <w:pPr>
        <w:ind w:firstLine="709"/>
      </w:pPr>
      <w:r>
        <w:rPr>
          <w:b/>
        </w:rPr>
        <w:t xml:space="preserve">Palabras claves: </w:t>
      </w:r>
      <w:r>
        <w:t>sistema automatizado, trazabilidad documental, SQLite, Wails, pasantías</w:t>
      </w:r>
    </w:p>
    <w:p>
      <w:pPr>
        <w:sectPr>
          <w:footerReference w:type="default" r:id="rId34"/>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5"/>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gestión documental constituye una actividad esencial en las organizaciones, pues permite mantener control sobre la recepción, revisión, circulación y despacho de información necesaria para el funcionamiento administrativo. En áreas de alta dirección, conocer con rapidez el estado y recorrido de los expedientes contribuye a responder oportunamente a los requerimientos de las distintas unidades.</w:t>
      </w:r>
    </w:p>
    <w:p>
      <w:pPr>
        <w:spacing w:line="360" w:lineRule="auto" w:after="0" w:before="0"/>
        <w:ind w:firstLine="709"/>
        <w:jc w:val="both"/>
      </w:pPr>
      <w:r>
        <w:rPr>
          <w:rFonts w:ascii="Times New Roman" w:hAnsi="Times New Roman"/>
          <w:i w:val="0"/>
          <w:sz w:val="24"/>
        </w:rPr>
        <w:t>En el Departamento de Presidencia de la Empresa Mixta Petrolera Venangocupet, S.A., el control de los movimientos documentales se apoya en hojas de cálculo. Durante las pasantías se observó que la transcripción manual y repetitiva de datos puede generar duplicidades, omisiones y demoras para elaborar resúmenes solicitados por la directiva, lo que hizo pertinente desarrollar una herramienta de escritorio para organizar la información sin alterar el flujo real del departamento.</w:t>
      </w:r>
    </w:p>
    <w:p>
      <w:pPr>
        <w:spacing w:line="360" w:lineRule="auto" w:after="0" w:before="0"/>
        <w:ind w:firstLine="709"/>
        <w:jc w:val="both"/>
      </w:pPr>
      <w:r>
        <w:rPr>
          <w:rFonts w:ascii="Times New Roman" w:hAnsi="Times New Roman"/>
          <w:i w:val="0"/>
          <w:sz w:val="24"/>
        </w:rPr>
        <w:t>El propósito de la pasantía fue desarrollar un sistema automatizado para el control, trazabilidad y reporte documental, sustentado en fundamentos de sistemas de información, gestión documental, bases de datos relacionales y automatización de procesos administrativos. El alcance comprendió diagnóstico, definición de requerimientos, diseño lógico, implementación y validación funcional.</w:t>
      </w:r>
    </w:p>
    <w:p>
      <w:pPr>
        <w:spacing w:line="360" w:lineRule="auto" w:after="0" w:before="0"/>
        <w:ind w:firstLine="709"/>
        <w:jc w:val="both"/>
      </w:pPr>
      <w:r>
        <w:rPr>
          <w:rFonts w:ascii="Times New Roman" w:hAnsi="Times New Roman"/>
          <w:i w:val="0"/>
          <w:sz w:val="24"/>
        </w:rPr>
        <w:t>El informe se organiza en cinco capítulos: realidad organizacional; diagnóstico, objetivos y planificación; fundamentos teóricos; actividades realizadas; y conclusiones y recomendaciones.</w:t>
      </w:r>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7"/>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de reservas de hidrocarburos.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y optimizar el uso de todos los recursos.</w:t>
      </w:r>
    </w:p>
    <w:p>
      <w:pPr>
        <w:spacing w:line="360" w:lineRule="auto"/>
        <w:ind w:firstLine="709"/>
        <w:jc w:val="both"/>
      </w:pPr>
      <w:r>
        <w:rPr>
          <w:rFonts w:ascii="Times New Roman" w:hAnsi="Times New Roman"/>
          <w:sz w:val="24"/>
        </w:rPr>
        <w:t xml:space="preserve">2. </w:t>
      </w:r>
      <w:r>
        <w:rPr>
          <w:rFonts w:ascii="Times New Roman" w:hAnsi="Times New Roman"/>
          <w:sz w:val="24"/>
        </w:rPr>
        <w:t>Impulsar el desarrollo sustentable de las comunidades vecinas mediante el fortalecimiento de las organizaciones de base y la diversificación económica.</w:t>
      </w:r>
    </w:p>
    <w:p>
      <w:pPr>
        <w:spacing w:line="360" w:lineRule="auto"/>
        <w:ind w:firstLine="709"/>
        <w:jc w:val="both"/>
      </w:pPr>
      <w:r>
        <w:rPr>
          <w:rFonts w:ascii="Times New Roman" w:hAnsi="Times New Roman"/>
          <w:sz w:val="24"/>
        </w:rPr>
        <w:t xml:space="preserve">3. </w:t>
      </w:r>
      <w:r>
        <w:rPr>
          <w:rFonts w:ascii="Times New Roman" w:hAnsi="Times New Roman"/>
          <w:sz w:val="24"/>
        </w:rPr>
        <w:t>Cumplir con las políticas, leyes, normas, procedimientos y lineamientos corporativos.</w:t>
      </w:r>
    </w:p>
    <w:p>
      <w:pPr>
        <w:spacing w:line="360" w:lineRule="auto"/>
        <w:ind w:firstLine="709"/>
        <w:jc w:val="both"/>
      </w:pPr>
      <w:r>
        <w:rPr>
          <w:rFonts w:ascii="Times New Roman" w:hAnsi="Times New Roman"/>
          <w:sz w:val="24"/>
        </w:rPr>
        <w:t xml:space="preserve">4. </w:t>
      </w:r>
      <w:r>
        <w:rPr>
          <w:rFonts w:ascii="Times New Roman" w:hAnsi="Times New Roman"/>
          <w:sz w:val="24"/>
        </w:rPr>
        <w:t>Conocer y aplicar las resoluciones, decretos y leyes de la industria del petróleo frente a las operaciones de la empresa en materia laboral.</w:t>
      </w:r>
    </w:p>
    <w:p>
      <w:pPr>
        <w:spacing w:line="360" w:lineRule="auto"/>
        <w:ind w:firstLine="709"/>
        <w:jc w:val="both"/>
      </w:pPr>
      <w:r>
        <w:rPr>
          <w:rFonts w:ascii="Times New Roman" w:hAnsi="Times New Roman"/>
          <w:sz w:val="24"/>
        </w:rPr>
        <w:t xml:space="preserve">5. </w:t>
      </w:r>
      <w:r>
        <w:rPr>
          <w:rFonts w:ascii="Times New Roman" w:hAnsi="Times New Roman"/>
          <w:sz w:val="24"/>
        </w:rPr>
        <w:t>Incentivar buenas relaciones interpersonales y laborales entre todos los trabajadores.</w:t>
      </w:r>
    </w:p>
    <w:p>
      <w:pPr>
        <w:spacing w:line="360" w:lineRule="auto"/>
        <w:ind w:firstLine="709"/>
        <w:jc w:val="both"/>
      </w:pPr>
      <w:r>
        <w:rPr>
          <w:rFonts w:ascii="Times New Roman" w:hAnsi="Times New Roman"/>
          <w:sz w:val="24"/>
        </w:rPr>
        <w:t xml:space="preserve">6. </w:t>
      </w:r>
      <w:r>
        <w:rPr>
          <w:rFonts w:ascii="Times New Roman" w:hAnsi="Times New Roman"/>
          <w:sz w:val="24"/>
        </w:rPr>
        <w:t>Mantener un alto nivel de comunicación y apoyo con el personal e informar acerca de los cambios y/o acciones de interés social y laboral.</w:t>
      </w:r>
    </w:p>
    <w:p>
      <w:pPr>
        <w:spacing w:line="360" w:lineRule="auto"/>
        <w:ind w:firstLine="709"/>
        <w:jc w:val="both"/>
      </w:pPr>
      <w:r>
        <w:rPr>
          <w:rFonts w:ascii="Times New Roman" w:hAnsi="Times New Roman"/>
          <w:sz w:val="24"/>
        </w:rPr>
        <w:t xml:space="preserve">7. </w:t>
      </w:r>
      <w:r>
        <w:rPr>
          <w:rFonts w:ascii="Times New Roman" w:hAnsi="Times New Roman"/>
          <w:sz w:val="24"/>
        </w:rPr>
        <w:t>Apoyar los objetivos y las metas de la organización en armonía con el desarrollo profesional del empleado.</w:t>
      </w:r>
    </w:p>
    <w:p>
      <w:pPr>
        <w:spacing w:line="360" w:lineRule="auto"/>
        <w:ind w:firstLine="709"/>
        <w:jc w:val="both"/>
      </w:pPr>
      <w:r>
        <w:rPr>
          <w:rFonts w:ascii="Times New Roman" w:hAnsi="Times New Roman"/>
          <w:sz w:val="24"/>
        </w:rPr>
        <w:t xml:space="preserve">8. </w:t>
      </w:r>
      <w:r>
        <w:rPr>
          <w:rFonts w:ascii="Times New Roman" w:hAnsi="Times New Roman"/>
          <w:sz w:val="24"/>
        </w:rPr>
        <w:t>Mantener el carácter confidencial de la información operativa y administrativa de la empresa.</w:t>
      </w:r>
    </w:p>
    <w:p>
      <w:pPr>
        <w:spacing w:line="360" w:lineRule="auto"/>
        <w:ind w:firstLine="709"/>
        <w:jc w:val="both"/>
      </w:pPr>
      <w:r>
        <w:rPr>
          <w:rFonts w:ascii="Times New Roman" w:hAnsi="Times New Roman"/>
          <w:sz w:val="24"/>
        </w:rPr>
        <w:t xml:space="preserve">9. </w:t>
      </w:r>
      <w:r>
        <w:rPr>
          <w:rFonts w:ascii="Times New Roman" w:hAnsi="Times New Roman"/>
          <w:sz w:val="24"/>
        </w:rPr>
        <w:t>Brindar los beneficios contractuales y velar por las mejoras de las condiciones laborales y la calidad de vida de los trabajadores.</w:t>
      </w:r>
    </w:p>
    <w:p>
      <w:pPr>
        <w:spacing w:line="360" w:lineRule="auto"/>
        <w:ind w:firstLine="709"/>
        <w:jc w:val="both"/>
      </w:pPr>
      <w:r>
        <w:rPr>
          <w:rFonts w:ascii="Times New Roman" w:hAnsi="Times New Roman"/>
          <w:sz w:val="24"/>
        </w:rPr>
        <w:t xml:space="preserve">10. </w:t>
      </w:r>
      <w:r>
        <w:rPr>
          <w:rFonts w:ascii="Times New Roman" w:hAnsi="Times New Roman"/>
          <w:sz w:val="24"/>
        </w:rPr>
        <w:t>Producir el máximo beneficio posible para sus accionistas, trabajadores, comunidades vecinas y clientes.</w:t>
      </w:r>
    </w:p>
    <w:p>
      <w:pPr>
        <w:spacing w:before="480"/>
        <w:jc w:val="center"/>
      </w:pPr>
      <w:r>
        <w:drawing>
          <wp:inline xmlns:a="http://schemas.openxmlformats.org/drawingml/2006/main" xmlns:pic="http://schemas.openxmlformats.org/drawingml/2006/picture">
            <wp:extent cx="1512000" cy="1512000"/>
            <wp:docPr id="2" name="Picture 2"/>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512000" cy="1512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Logotipo de la Empresa Mixta Petrolera Venangocupet, S.A.</w:t>
      </w:r>
      <w:bookmarkEnd w:id="bm_grafico1"/>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ubica en la Avenida Jesús Subero (vía El Tigre - San José de Guanipa), con prolongación de la Calle 19 Sur, sector San Remo, Centro Comercial San Remo Mall, El Tigre, municipio Simón Rodríguez, estado Anzoátegui. Las oficinas administrativas se encuentran específicamente en la planta baja del centro comercial, identificadas como Local 89-PB. Para la representación cartográfica se utiliza como referencia el Centro Comercial San Remo Mall, debido a que la empresa no aparece rotulada de forma independiente en la plataforma cartográfica consultada.</w:t>
      </w:r>
    </w:p>
    <w:p>
      <w:pPr>
        <w:spacing w:before="480"/>
        <w:jc w:val="center"/>
      </w:pPr>
      <w:r>
        <w:drawing>
          <wp:inline xmlns:a="http://schemas.openxmlformats.org/drawingml/2006/main" xmlns:pic="http://schemas.openxmlformats.org/drawingml/2006/picture">
            <wp:extent cx="3960000" cy="2482717"/>
            <wp:docPr id="3" name="Picture 3"/>
            <wp:cNvGraphicFramePr>
              <a:graphicFrameLocks noChangeAspect="1"/>
            </wp:cNvGraphicFramePr>
            <a:graphic>
              <a:graphicData uri="http://schemas.openxmlformats.org/drawingml/2006/picture">
                <pic:pic>
                  <pic:nvPicPr>
                    <pic:cNvPr id="0" name="mapa.png"/>
                    <pic:cNvPicPr/>
                  </pic:nvPicPr>
                  <pic:blipFill>
                    <a:blip r:embed="rId11"/>
                    <a:stretch>
                      <a:fillRect/>
                    </a:stretch>
                  </pic:blipFill>
                  <pic:spPr>
                    <a:xfrm>
                      <a:off x="0" y="0"/>
                      <a:ext cx="3960000" cy="2482717"/>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Referencia cartográfica de la ubicación de las oficinas administrativas de Venangocupet, S.A.</w:t>
      </w:r>
      <w:bookmarkEnd w:id="bm_grafico2"/>
    </w:p>
    <w:p>
      <w:pPr>
        <w:spacing w:before="0" w:after="240"/>
        <w:jc w:val="center"/>
      </w:pPr>
      <w:r>
        <w:rPr>
          <w:rFonts w:ascii="Times New Roman" w:hAnsi="Times New Roman"/>
          <w:i/>
          <w:sz w:val="24"/>
        </w:rPr>
        <w:t xml:space="preserve">Fuente: </w:t>
      </w:r>
      <w:r>
        <w:rPr>
          <w:rFonts w:ascii="Times New Roman" w:hAnsi="Times New Roman"/>
          <w:sz w:val="24"/>
        </w:rPr>
        <w:t>Captura cartográfica de Google Maps (2026). La empresa no aparece rotulada de forma independiente; se emplea como referencia el Centro Comercial San Remo Mall.</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Departamento de Presidencia</w:t>
            </w:r>
          </w:p>
        </w:tc>
        <w:tc>
          <w:tcPr>
            <w:tcW w:type="dxa" w:w="2886"/>
          </w:tcPr>
          <w:p>
            <w:pPr>
              <w:jc w:val="left"/>
            </w:pPr>
            <w:r/>
            <w:r>
              <w:rPr>
                <w:rFonts w:ascii="Times New Roman" w:hAnsi="Times New Roman"/>
                <w:sz w:val="16"/>
              </w:rPr>
              <w:t>Presidente</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Departamento de Presidencia</w:t>
            </w:r>
          </w:p>
        </w:tc>
        <w:tc>
          <w:tcPr>
            <w:tcW w:type="dxa" w:w="2886"/>
          </w:tcPr>
          <w:p>
            <w:pPr>
              <w:jc w:val="left"/>
            </w:pPr>
            <w:r/>
            <w:r>
              <w:rPr>
                <w:rFonts w:ascii="Times New Roman" w:hAnsi="Times New Roman"/>
                <w:sz w:val="16"/>
              </w:rPr>
              <w:t>Secretaría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bl>
    <w:p>
      <w:pPr>
        <w:spacing w:before="120"/>
      </w:pPr>
      <w:r>
        <w:rPr>
          <w:rFonts w:ascii="Times New Roman" w:hAnsi="Times New Roman"/>
          <w:i/>
          <w:sz w:val="16"/>
        </w:rPr>
        <w:t>Fuente: Información suministrada por el Departamento de Presidencia de la Empresa Mixta Petrolera Venangocupet, S.A. (2026).</w:t>
      </w:r>
    </w:p>
    <w:p>
      <w:pPr>
        <w:spacing w:line="360" w:lineRule="auto" w:after="0" w:before="0"/>
        <w:ind w:firstLine="709"/>
        <w:jc w:val="both"/>
      </w:pPr>
      <w:r>
        <w:rPr>
          <w:rFonts w:ascii="Times New Roman" w:hAnsi="Times New Roman"/>
          <w:i w:val="0"/>
          <w:sz w:val="24"/>
        </w:rPr>
        <w:t>El Departamento de Presidencia cuenta con una fuerza laboral activa de dos (2) personas: el Presidente, de género masculino, y una persona responsable de Secretaría, de género femenino. Para el momento de las pasantías no se reportaron vacantes en esta unidad. Esta población corresponde al departamento donde se ejecutaron las actividades de pasantía y es la directamente vinculada con el flujo documental analizado.</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Venangocupet, S.A. responde a un esquema jerárquico-funcional encabezado por la Junta Directiva y la Presidencia. El Departamento de Presidencia constituye el área donde se desarrollaron las pasantías y actúa como punto de recepción, revisión, firma y despacho de correspondencia ejecutiva. A continuación se presentan el organigrama general de la empresa y el organigrama específico del departamento.</w:t>
      </w:r>
    </w:p>
    <w:p>
      <w:pPr>
        <w:spacing w:before="480"/>
        <w:jc w:val="center"/>
      </w:pPr>
      <w:r>
        <w:drawing>
          <wp:inline xmlns:a="http://schemas.openxmlformats.org/drawingml/2006/main" xmlns:pic="http://schemas.openxmlformats.org/drawingml/2006/picture">
            <wp:extent cx="4320000" cy="3674391"/>
            <wp:docPr id="4" name="Picture 4"/>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4320000" cy="3674391"/>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Venangocupet, S.A.</w:t>
      </w:r>
      <w:bookmarkEnd w:id="bm_grafico3"/>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pacing w:before="480"/>
        <w:jc w:val="center"/>
      </w:pPr>
      <w:r>
        <w:drawing>
          <wp:inline xmlns:a="http://schemas.openxmlformats.org/drawingml/2006/main" xmlns:pic="http://schemas.openxmlformats.org/drawingml/2006/picture">
            <wp:extent cx="4320000" cy="2881208"/>
            <wp:docPr id="5" name="Picture 5"/>
            <wp:cNvGraphicFramePr>
              <a:graphicFrameLocks noChangeAspect="1"/>
            </wp:cNvGraphicFramePr>
            <a:graphic>
              <a:graphicData uri="http://schemas.openxmlformats.org/drawingml/2006/picture">
                <pic:pic>
                  <pic:nvPicPr>
                    <pic:cNvPr id="0" name="2.png"/>
                    <pic:cNvPicPr/>
                  </pic:nvPicPr>
                  <pic:blipFill>
                    <a:blip r:embed="rId13"/>
                    <a:stretch>
                      <a:fillRect/>
                    </a:stretch>
                  </pic:blipFill>
                  <pic:spPr>
                    <a:xfrm>
                      <a:off x="0" y="0"/>
                      <a:ext cx="4320000" cy="2881208"/>
                    </a:xfrm>
                    <a:prstGeom prst="rect"/>
                  </pic:spPr>
                </pic:pic>
              </a:graphicData>
            </a:graphic>
          </wp:inline>
        </w:drawing>
      </w:r>
    </w:p>
    <w:p>
      <w:bookmarkStart w:id="bm_grafico4" w:name="bm_grafico4"/>
      <w:pPr>
        <w:spacing w:before="120" w:after="480"/>
        <w:jc w:val="center"/>
      </w:pPr>
      <w:r>
        <w:rPr>
          <w:rFonts w:ascii="Times New Roman" w:hAnsi="Times New Roman"/>
          <w:i/>
          <w:sz w:val="24"/>
        </w:rPr>
        <w:t xml:space="preserve">Gráfico 4. </w:t>
      </w:r>
      <w:r>
        <w:rPr>
          <w:rFonts w:ascii="Times New Roman" w:hAnsi="Times New Roman"/>
          <w:b/>
          <w:sz w:val="24"/>
        </w:rPr>
        <w:t>Organigrama del Departamento de Presidencia.</w:t>
      </w:r>
      <w:bookmarkEnd w:id="bm_grafico4"/>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ectPr>
          <w:footerReference w:type="default" r:id="rId38"/>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9"/>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0"/>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1"/>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3960000" cy="2317669"/>
            <wp:docPr id="6" name="Picture 6"/>
            <wp:cNvGraphicFramePr>
              <a:graphicFrameLocks noChangeAspect="1"/>
            </wp:cNvGraphicFramePr>
            <a:graphic>
              <a:graphicData uri="http://schemas.openxmlformats.org/drawingml/2006/picture">
                <pic:pic>
                  <pic:nvPicPr>
                    <pic:cNvPr id="0" name="3.png"/>
                    <pic:cNvPicPr/>
                  </pic:nvPicPr>
                  <pic:blipFill>
                    <a:blip r:embed="rId14"/>
                    <a:stretch>
                      <a:fillRect/>
                    </a:stretch>
                  </pic:blipFill>
                  <pic:spPr>
                    <a:xfrm>
                      <a:off x="0" y="0"/>
                      <a:ext cx="3960000" cy="2317669"/>
                    </a:xfrm>
                    <a:prstGeom prst="rect"/>
                  </pic:spPr>
                </pic:pic>
              </a:graphicData>
            </a:graphic>
          </wp:inline>
        </w:drawing>
      </w:r>
    </w:p>
    <w:sectPr w:rsidR="00FC693F" w:rsidRPr="0006063C" w:rsidSect="00034616">
      <w:footerReference w:type="default" r:id="rId42"/>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footer" Target="footer9.xml"/><Relationship Id="rId24" Type="http://schemas.openxmlformats.org/officeDocument/2006/relationships/footer" Target="footer10.xml"/><Relationship Id="rId25" Type="http://schemas.openxmlformats.org/officeDocument/2006/relationships/footer" Target="footer11.xml"/><Relationship Id="rId26" Type="http://schemas.openxmlformats.org/officeDocument/2006/relationships/footer" Target="footer12.xml"/><Relationship Id="rId27" Type="http://schemas.openxmlformats.org/officeDocument/2006/relationships/footer" Target="footer13.xml"/><Relationship Id="rId28" Type="http://schemas.openxmlformats.org/officeDocument/2006/relationships/footer" Target="footer14.xml"/><Relationship Id="rId29" Type="http://schemas.openxmlformats.org/officeDocument/2006/relationships/footer" Target="footer15.xml"/><Relationship Id="rId30" Type="http://schemas.openxmlformats.org/officeDocument/2006/relationships/footer" Target="footer16.xml"/><Relationship Id="rId31" Type="http://schemas.openxmlformats.org/officeDocument/2006/relationships/footer" Target="footer17.xml"/><Relationship Id="rId32" Type="http://schemas.openxmlformats.org/officeDocument/2006/relationships/footer" Target="footer18.xml"/><Relationship Id="rId33" Type="http://schemas.openxmlformats.org/officeDocument/2006/relationships/footer" Target="footer19.xml"/><Relationship Id="rId34" Type="http://schemas.openxmlformats.org/officeDocument/2006/relationships/footer" Target="footer20.xml"/><Relationship Id="rId35" Type="http://schemas.openxmlformats.org/officeDocument/2006/relationships/footer" Target="footer21.xml"/><Relationship Id="rId36" Type="http://schemas.openxmlformats.org/officeDocument/2006/relationships/footer" Target="footer22.xml"/><Relationship Id="rId37" Type="http://schemas.openxmlformats.org/officeDocument/2006/relationships/footer" Target="footer23.xml"/><Relationship Id="rId38" Type="http://schemas.openxmlformats.org/officeDocument/2006/relationships/footer" Target="footer24.xml"/><Relationship Id="rId39" Type="http://schemas.openxmlformats.org/officeDocument/2006/relationships/footer" Target="footer25.xml"/><Relationship Id="rId40" Type="http://schemas.openxmlformats.org/officeDocument/2006/relationships/footer" Target="footer26.xml"/><Relationship Id="rId41" Type="http://schemas.openxmlformats.org/officeDocument/2006/relationships/footer" Target="footer27.xml"/><Relationship Id="rId42" Type="http://schemas.openxmlformats.org/officeDocument/2006/relationships/footer" Target="footer2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