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Lic. Lenny Mata</w:t>
              <w:br/>
              <w:t>C.I.: 8969750</w:t>
              <w:br/>
              <w:br/>
              <w:t>Tutor Académico:</w:t>
              <w:br/>
              <w:t>Dra. Carmen J. Álvarez</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Lic. Lenny Mata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su apoyo constante, comprensión y motivación durante mi formación académica y en el desarrollo de esta etapa profesional.</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1</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4</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5</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8</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11</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13</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Conceptos disciplinares</w:t>
        <w:tab/>
      </w:r>
      <w:r>
        <w:rPr/>
        <w:fldChar w:fldCharType="begin"/>
      </w:r>
      <w:r>
        <w:rPr/>
        <w:instrText xml:space="preserve"> PAGEREF bm_cap3_bases \h </w:instrText>
      </w:r>
      <w:r>
        <w:rPr/>
        <w:fldChar w:fldCharType="separate"/>
      </w:r>
      <w:r>
        <w:rPr/>
        <w:t>15</w:t>
      </w:r>
      <w:r>
        <w:rPr/>
        <w:fldChar w:fldCharType="end"/>
      </w:r>
    </w:p>
    <w:p>
      <w:pPr>
        <w:pStyle w:val="Normal"/>
        <w:keepLines/>
        <w:tabs>
          <w:tab w:val="clear" w:pos="720"/>
          <w:tab w:val="right" w:pos="8271" w:leader="dot"/>
        </w:tabs>
        <w:spacing w:lineRule="auto" w:line="360" w:before="0" w:after="80"/>
        <w:ind w:start="283"/>
        <w:rPr/>
      </w:pPr>
      <w:r>
        <w:rPr>
          <w:b w:val="false"/>
          <w:sz w:val="24"/>
        </w:rPr>
        <w:t>Bases legales</w:t>
        <w:tab/>
      </w:r>
      <w:r>
        <w:rPr/>
        <w:fldChar w:fldCharType="begin"/>
      </w:r>
      <w:r>
        <w:rPr/>
        <w:instrText xml:space="preserve"> PAGEREF bm_cap3_legales \h </w:instrText>
      </w:r>
      <w:r>
        <w:rPr/>
        <w:fldChar w:fldCharType="separate"/>
      </w:r>
      <w:r>
        <w:rPr/>
        <w:t>21</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23</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27</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28</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29</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30</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12</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13</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4</w:t>
        <w:tab/>
        <w:t>Organigrama del Departamento de Administración.</w:t>
        <w:tab/>
      </w:r>
      <w:r>
        <w:rPr/>
        <w:fldChar w:fldCharType="begin"/>
      </w:r>
      <w:r>
        <w:rPr/>
        <w:instrText xml:space="preserve"> PAGEREF bm_grafico4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5</w:t>
        <w:tab/>
        <w:t>Diagrama de Ishikawa del control y trazabilidad de las solicitudes de servicio</w:t>
        <w:tab/>
      </w:r>
      <w:r>
        <w:rPr/>
        <w:fldChar w:fldCharType="begin"/>
      </w:r>
      <w:r>
        <w:rPr/>
        <w:instrText xml:space="preserve"> PAGEREF bm_grafico5 \h </w:instrText>
      </w:r>
      <w:r>
        <w:rPr/>
        <w:fldChar w:fldCharType="separate"/>
      </w:r>
      <w:r>
        <w:rPr/>
        <w:t>11</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31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AS-IS de afiliaciones e incidencias</w:t>
        <w:tab/>
      </w:r>
      <w:r>
        <w:rPr/>
        <w:fldChar w:fldCharType="begin"/>
      </w:r>
      <w:r>
        <w:rPr/>
        <w:instrText xml:space="preserve"> PAGEREF bm_anexoB \h </w:instrText>
      </w:r>
      <w:r>
        <w:rPr/>
        <w:fldChar w:fldCharType="separate"/>
      </w:r>
      <w:r>
        <w:rPr/>
        <w:t>32</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Swimlane interdepartamental de gestión de solicitudes</w:t>
        <w:tab/>
      </w:r>
      <w:r>
        <w:rPr/>
        <w:fldChar w:fldCharType="begin"/>
      </w:r>
      <w:r>
        <w:rPr/>
        <w:instrText xml:space="preserve"> PAGEREF bm_anexoC \h </w:instrText>
      </w:r>
      <w:r>
        <w:rPr/>
        <w:fldChar w:fldCharType="separate"/>
      </w:r>
      <w:r>
        <w:rPr/>
        <w:t>33</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Estados de una solicitud de servicio</w:t>
        <w:tab/>
      </w:r>
      <w:r>
        <w:rPr/>
        <w:fldChar w:fldCharType="begin"/>
      </w:r>
      <w:r>
        <w:rPr/>
        <w:instrText xml:space="preserve"> PAGEREF bm_anexoD \h </w:instrText>
      </w:r>
      <w:r>
        <w:rPr/>
        <w:fldChar w:fldCharType="separate"/>
      </w:r>
      <w:r>
        <w:rPr/>
        <w:t>34</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Comunicación interdepartamental</w:t>
        <w:tab/>
      </w:r>
      <w:r>
        <w:rPr/>
        <w:fldChar w:fldCharType="begin"/>
      </w:r>
      <w:r>
        <w:rPr/>
        <w:instrText xml:space="preserve"> PAGEREF bm_anexoE \h </w:instrText>
      </w:r>
      <w:r>
        <w:rPr/>
        <w:fldChar w:fldCharType="separate"/>
      </w:r>
      <w:r>
        <w:rPr/>
        <w:t>35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Comparación AS-IS y TO-BE del control de solicitudes</w:t>
        <w:tab/>
      </w:r>
      <w:r>
        <w:rPr/>
        <w:fldChar w:fldCharType="begin"/>
      </w:r>
      <w:r>
        <w:rPr/>
        <w:instrText xml:space="preserve"> PAGEREF bm_anexoF \h </w:instrText>
      </w:r>
      <w:r>
        <w:rPr/>
        <w:fldChar w:fldCharType="separate"/>
      </w:r>
      <w:r>
        <w:rPr/>
        <w:t>36</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G</w:t>
        <w:tab/>
        <w:t>Memoria fotográfica de las actividades realizadas</w:t>
        <w:tab/>
      </w:r>
      <w:r>
        <w:rPr/>
        <w:fldChar w:fldCharType="begin"/>
      </w:r>
      <w:r>
        <w:rPr/>
        <w:instrText xml:space="preserve"> PAGEREF bm_anexoG \h </w:instrText>
      </w:r>
      <w:r>
        <w:rPr/>
        <w:fldChar w:fldCharType="separate"/>
      </w:r>
      <w:r>
        <w:rPr/>
        <w:t>37</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 Alrifaai Alrifaaie, Amaal</w:t>
        <w:br/>
      </w:r>
      <w:r>
        <w:rPr>
          <w:sz w:val="24"/>
        </w:rPr>
        <w:t>C.I.: 31.985.792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control administrativo, solicitudes de servicio, trazabilidad, telecomunicaciones,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Ingeniería de Telecomunicaciones, C.A.</w:t>
      </w:r>
      <w:bookmarkEnd w:id="18"/>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keepNext w:val="true"/>
        <w:keepLines/>
        <w:spacing w:before="480" w:after="0"/>
        <w:jc w:val="center"/>
        <w:rPr/>
      </w:pPr>
      <w:r>
        <w:rPr/>
        <w:drawing>
          <wp:inline distT="0" distB="0" distL="0" distR="0">
            <wp:extent cx="1800225" cy="11252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1252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Ingeniería de Telecomunicaciones, C.A.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2"/>
        <w:gridCol w:w="2886"/>
        <w:gridCol w:w="1134"/>
        <w:gridCol w:w="1135"/>
        <w:gridCol w:w="1135"/>
      </w:tblGrid>
      <w:tr>
        <w:trPr>
          <w:tblHeader w:val="true"/>
        </w:trPr>
        <w:tc>
          <w:tcPr>
            <w:tcW w:w="1982"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5"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Empresa</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Personal activo en los cargos de la estructura organizativa</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bl>
    <w:p>
      <w:pPr>
        <w:pStyle w:val="Normal"/>
        <w:spacing w:lineRule="auto" w:line="240" w:before="0" w:after="240"/>
        <w:ind w:hanging="0"/>
        <w:jc w:val="start"/>
        <w:rPr/>
      </w:pPr>
      <w:r>
        <w:rPr>
          <w:i/>
          <w:sz w:val="20"/>
        </w:rPr>
        <w:t xml:space="preserve">Fuente: </w:t>
      </w:r>
      <w:r>
        <w:rPr>
          <w:sz w:val="20"/>
        </w:rPr>
        <w:t>Información suministrada por Ingeniería de Telecomunicaciones, C.A. (2026).</w:t>
      </w:r>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keepNext w:val="true"/>
        <w:keepLines/>
        <w:spacing w:before="480" w:after="0"/>
        <w:jc w:val="center"/>
        <w:rPr/>
      </w:pPr>
      <w:r>
        <w:rPr/>
        <w:drawing>
          <wp:inline distT="0" distB="0" distL="0" distR="0">
            <wp:extent cx="4319905"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1847850"/>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Ingeniería de Telecomunicaciones, C.A.</w:t>
      </w:r>
      <w:bookmarkEnd w:id="24"/>
    </w:p>
    <w:p>
      <w:pPr>
        <w:pStyle w:val="Normal"/>
        <w:spacing w:lineRule="auto" w:line="240" w:before="0" w:after="240"/>
        <w:ind w:hanging="0"/>
        <w:jc w:val="center"/>
        <w:rPr/>
      </w:pPr>
      <w:r>
        <w:rPr>
          <w:i/>
          <w:sz w:val="20"/>
        </w:rPr>
        <w:t xml:space="preserve">Fuente: </w:t>
      </w:r>
      <w:r>
        <w:rPr>
          <w:sz w:val="20"/>
        </w:rPr>
        <w:t>Ingeniería de Telecomunicaciones, C.A. (2026).</w:t>
      </w:r>
    </w:p>
    <w:p>
      <w:pPr>
        <w:pStyle w:val="Normal"/>
        <w:keepNext w:val="true"/>
        <w:keepLines/>
        <w:spacing w:before="480" w:after="0"/>
        <w:jc w:val="center"/>
        <w:rPr/>
      </w:pPr>
      <w:r>
        <w:rPr/>
        <w:drawing>
          <wp:inline distT="0" distB="0" distL="0" distR="0">
            <wp:extent cx="4319905" cy="26803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stretch>
                      <a:fillRect/>
                    </a:stretch>
                  </pic:blipFill>
                  <pic:spPr bwMode="auto">
                    <a:xfrm>
                      <a:off x="0" y="0"/>
                      <a:ext cx="4319905" cy="2680335"/>
                    </a:xfrm>
                    <a:prstGeom prst="rect">
                      <a:avLst/>
                    </a:prstGeom>
                    <a:noFill/>
                  </pic:spPr>
                </pic:pic>
              </a:graphicData>
            </a:graphic>
          </wp:inline>
        </w:drawing>
      </w:r>
    </w:p>
    <w:p>
      <w:pPr>
        <w:pStyle w:val="Normal"/>
        <w:keepNext w:val="true"/>
        <w:keepLines/>
        <w:spacing w:before="120" w:after="480"/>
        <w:jc w:val="center"/>
        <w:rPr/>
      </w:pPr>
      <w:bookmarkStart w:id="25" w:name="bm_grafico4"/>
      <w:r>
        <w:rPr>
          <w:i/>
          <w:sz w:val="20"/>
        </w:rPr>
        <w:t xml:space="preserve">Gráfico 4. </w:t>
      </w:r>
      <w:r>
        <w:rPr>
          <w:b/>
          <w:sz w:val="20"/>
        </w:rPr>
        <w:t>Organigrama del Departamento de Administración.</w:t>
      </w:r>
      <w:bookmarkEnd w:id="25"/>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26" w:name="bm_cap1_departamento"/>
      <w:r>
        <w:rPr>
          <w:b/>
          <w:sz w:val="24"/>
        </w:rPr>
        <w:t>Descripción del departamento donde realizó la pasantía</w:t>
      </w:r>
      <w:bookmarkEnd w:id="26"/>
    </w:p>
    <w:p>
      <w:pPr>
        <w:pStyle w:val="Normal"/>
        <w:spacing w:lineRule="auto" w:line="360" w:before="0" w:after="0"/>
        <w:ind w:firstLine="709"/>
        <w:jc w:val="both"/>
        <w:rPr/>
        <w:sectPr>
          <w:footerReference w:type="even" r:id="rId45"/>
          <w:footerReference w:type="default" r:id="rId46"/>
          <w:footerReference w:type="first" r:id="rId47"/>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pStyle w:val="Normal"/>
        <w:keepNext w:val="true"/>
        <w:keepLines/>
        <w:spacing w:before="1140" w:after="480"/>
        <w:jc w:val="center"/>
        <w:rPr/>
      </w:pPr>
      <w:r>
        <w:rPr>
          <w:b/>
          <w:sz w:val="24"/>
        </w:rPr>
        <w:t>CAPÍTULO II</w:t>
      </w:r>
    </w:p>
    <w:p>
      <w:pPr>
        <w:pStyle w:val="IUTECPCaptulo"/>
        <w:spacing w:before="480" w:after="0"/>
        <w:jc w:val="center"/>
        <w:rPr/>
      </w:pPr>
      <w:bookmarkStart w:id="27" w:name="bm_cap2"/>
      <w:r>
        <w:rPr>
          <w:b/>
          <w:sz w:val="24"/>
        </w:rPr>
        <w:t>DIAGNÓSTICO SITUACIONAL</w:t>
      </w:r>
      <w:bookmarkEnd w:id="27"/>
    </w:p>
    <w:p>
      <w:pPr>
        <w:pStyle w:val="IUTECPTtulo2"/>
        <w:keepNext w:val="true"/>
        <w:keepLines/>
        <w:spacing w:lineRule="auto" w:line="360" w:before="480" w:after="480"/>
        <w:jc w:val="start"/>
        <w:rPr/>
      </w:pPr>
      <w:bookmarkStart w:id="28" w:name="bm_cap2_sit"/>
      <w:r>
        <w:rPr>
          <w:b/>
          <w:sz w:val="24"/>
        </w:rPr>
        <w:t>Identificación de la Situación Problemática</w:t>
      </w:r>
      <w:bookmarkEnd w:id="28"/>
    </w:p>
    <w:p>
      <w:pPr>
        <w:pStyle w:val="Normal"/>
        <w:spacing w:lineRule="auto" w:line="360" w:before="0" w:after="0"/>
        <w:ind w:firstLine="709"/>
        <w:jc w:val="both"/>
        <w:rPr/>
      </w:pPr>
      <w:r>
        <w:rPr>
          <w:i w:val="false"/>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0" w:after="0"/>
        <w:ind w:firstLine="709"/>
        <w:jc w:val="both"/>
        <w:rPr/>
      </w:pPr>
      <w:r>
        <w:rPr>
          <w:i w:val="false"/>
          <w:sz w:val="24"/>
        </w:rPr>
        <w:t>El recorrido actual de afiliaciones e incidencias se representa en el flujograma AS-IS incorporado como Anexo B, el cual permite visualizar la transición de la información entre las áreas involucradas.</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 La representación gráfica de esta técnica se presenta a continuación.</w:t>
      </w:r>
      <w:r>
        <w:rPr>
          <w:sz w:val="24"/>
        </w:rPr>
        <w:t xml:space="preserve"> A partir de la situación descrita, se formula la siguiente interrogante: ¿Cómo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Normal"/>
        <w:keepNext w:val="true"/>
        <w:keepLines/>
        <w:spacing w:before="480" w:after="0"/>
        <w:jc w:val="center"/>
        <w:rPr/>
      </w:pPr>
      <w:r>
        <w:rPr/>
        <w:drawing>
          <wp:inline distT="0" distB="0" distL="0" distR="0">
            <wp:extent cx="4500245" cy="4100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48"/>
                    <a:stretch>
                      <a:fillRect/>
                    </a:stretch>
                  </pic:blipFill>
                  <pic:spPr bwMode="auto">
                    <a:xfrm>
                      <a:off x="0" y="0"/>
                      <a:ext cx="4500245" cy="4100195"/>
                    </a:xfrm>
                    <a:prstGeom prst="rect">
                      <a:avLst/>
                    </a:prstGeom>
                    <a:noFill/>
                  </pic:spPr>
                </pic:pic>
              </a:graphicData>
            </a:graphic>
          </wp:inline>
        </w:drawing>
      </w:r>
    </w:p>
    <w:p>
      <w:pPr>
        <w:pStyle w:val="Normal"/>
        <w:keepNext w:val="true"/>
        <w:keepLines/>
        <w:spacing w:before="120" w:after="480"/>
        <w:jc w:val="center"/>
        <w:rPr/>
      </w:pPr>
      <w:bookmarkStart w:id="29" w:name="bm_grafico5"/>
      <w:r>
        <w:rPr>
          <w:i/>
          <w:sz w:val="20"/>
        </w:rPr>
        <w:t xml:space="preserve">Gráfico 5. </w:t>
      </w:r>
      <w:r>
        <w:rPr>
          <w:b/>
          <w:sz w:val="20"/>
        </w:rPr>
        <w:t>Diagrama de Ishikawa del control y trazabilidad de las solicitudes de servicio.</w:t>
      </w:r>
      <w:bookmarkEnd w:id="29"/>
    </w:p>
    <w:p>
      <w:pPr>
        <w:pStyle w:val="Normal"/>
        <w:spacing w:lineRule="auto" w:line="240" w:before="0" w:after="240"/>
        <w:ind w:hanging="0"/>
        <w:jc w:val="center"/>
        <w:rPr/>
      </w:pPr>
      <w:r>
        <w:rPr>
          <w:i/>
          <w:sz w:val="20"/>
        </w:rPr>
        <w:t xml:space="preserve">Fuente: </w:t>
      </w:r>
      <w:r>
        <w:rPr>
          <w:sz w:val="20"/>
        </w:rPr>
        <w:t>Alrifaai A. (2026).</w:t>
      </w:r>
    </w:p>
    <w:p>
      <w:pPr>
        <w:pStyle w:val="IUTECPTtulo2"/>
        <w:keepNext w:val="true"/>
        <w:keepLines/>
        <w:spacing w:lineRule="auto" w:line="360" w:before="480" w:after="480"/>
        <w:jc w:val="start"/>
        <w:rPr/>
      </w:pPr>
      <w:bookmarkStart w:id="30" w:name="bm_cap2_objg"/>
      <w:r>
        <w:rPr>
          <w:b/>
          <w:sz w:val="24"/>
        </w:rPr>
        <w:t>Objetivo General</w:t>
      </w:r>
      <w:bookmarkEnd w:id="30"/>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IUTECPTtulo2"/>
        <w:keepNext w:val="true"/>
        <w:keepLines/>
        <w:spacing w:lineRule="auto" w:line="360" w:before="480" w:after="480"/>
        <w:jc w:val="start"/>
        <w:rPr/>
      </w:pPr>
      <w:bookmarkStart w:id="31" w:name="bm_cap2_obje"/>
      <w:r>
        <w:rPr>
          <w:b/>
          <w:sz w:val="24"/>
        </w:rPr>
        <w:t>Objetivos Específicos</w:t>
      </w:r>
      <w:bookmarkEnd w:id="31"/>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IUTECPTtulo2"/>
        <w:keepNext w:val="true"/>
        <w:keepLines/>
        <w:spacing w:lineRule="auto" w:line="360" w:before="480" w:after="480"/>
        <w:jc w:val="start"/>
        <w:rPr/>
      </w:pPr>
      <w:bookmarkStart w:id="32" w:name="bm_cap2_planif"/>
      <w:r>
        <w:rPr>
          <w:b/>
          <w:sz w:val="24"/>
        </w:rPr>
        <w:t>Planificación integral de objetivos</w:t>
      </w:r>
      <w:bookmarkEnd w:id="32"/>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keepNext w:val="true"/>
        <w:keepLines/>
        <w:spacing w:lineRule="auto" w:line="360" w:before="480" w:after="240"/>
        <w:jc w:val="start"/>
        <w:rPr/>
      </w:pPr>
      <w:bookmarkStart w:id="33" w:name="bm_cuadro2"/>
      <w:r>
        <w:rPr>
          <w:b/>
          <w:sz w:val="20"/>
        </w:rPr>
        <w:t xml:space="preserve">Cuadro 2. </w:t>
      </w:r>
      <w:r>
        <w:rPr>
          <w:i/>
          <w:sz w:val="20"/>
        </w:rPr>
        <w:t>Planificación integral de objetivos específicos.</w:t>
      </w:r>
      <w:bookmarkEnd w:id="33"/>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53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administrativo de gestión de solicitudes de servicio.</w:t>
            </w:r>
          </w:p>
        </w:tc>
        <w:tc>
          <w:tcPr>
            <w:tcW w:w="1786"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recorrido de afiliaciones e incidencias desde Atención al Cliente hasta su seguimiento administrativo, describir las etapas y revisar la documentación utilizada.</w:t>
            </w:r>
          </w:p>
        </w:tc>
        <w:tc>
          <w:tcPr>
            <w:tcW w:w="1530"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y análisis documental.</w:t>
            </w:r>
          </w:p>
        </w:tc>
        <w:tc>
          <w:tcPr>
            <w:tcW w:w="170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registros de solicitudes, comprobantes y documentos internos.</w:t>
            </w:r>
          </w:p>
        </w:tc>
      </w:tr>
      <w:tr>
        <w:trPr>
          <w:cantSplit/>
        </w:trPr>
        <w:tc>
          <w:tcPr>
            <w:tcW w:w="1728"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53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y causas que afectan el control administrativo de solicitudes.</w:t>
            </w:r>
          </w:p>
        </w:tc>
        <w:tc>
          <w:tcPr>
            <w:tcW w:w="1786"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Aplicar entrevistas estructuradas al personal, revisar casos históricos, comparar tiempos de respuesta y elaborar un diagrama de Ishikawa con las causas identificadas.</w:t>
            </w:r>
          </w:p>
        </w:tc>
        <w:tc>
          <w:tcPr>
            <w:tcW w:w="1530"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Entrevista estructurada, análisis documental, comparación de tiempos y diagrama causa-efecto.</w:t>
            </w:r>
          </w:p>
        </w:tc>
        <w:tc>
          <w:tcPr>
            <w:tcW w:w="170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entrevista, registros históricos, reportes internos, hoja de cálculo y matriz de causas.</w:t>
            </w:r>
          </w:p>
        </w:tc>
      </w:tr>
      <w:tr>
        <w:trPr>
          <w:cantSplit/>
        </w:trPr>
        <w:tc>
          <w:tcPr>
            <w:tcW w:w="1728"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mejoras al control administrativo de las solicitudes mediante un flujo estandarizado, formatos de registro, responsables por etapa e indicadores básicos de seguimiento.</w:t>
            </w:r>
          </w:p>
        </w:tc>
        <w:tc>
          <w:tcPr>
            <w:tcW w:w="153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Mejoras al control administrativo de solicitudes.</w:t>
            </w:r>
          </w:p>
        </w:tc>
        <w:tc>
          <w:tcPr>
            <w:tcW w:w="1786"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estandarizado, formatos de registro, responsables por etapa e indicadores básicos de seguimiento; validar la propuesta con el tutor industrial.</w:t>
            </w:r>
          </w:p>
        </w:tc>
        <w:tc>
          <w:tcPr>
            <w:tcW w:w="1530"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y validación técnica.</w:t>
            </w:r>
          </w:p>
        </w:tc>
        <w:tc>
          <w:tcPr>
            <w:tcW w:w="170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herramientas de diagramación, hoja de cálculo y formato de validación.</w:t>
            </w:r>
          </w:p>
        </w:tc>
      </w:tr>
    </w:tbl>
    <w:p>
      <w:pPr>
        <w:pStyle w:val="Normal"/>
        <w:spacing w:lineRule="auto" w:line="240" w:before="0" w:after="240"/>
        <w:ind w:hanging="0"/>
        <w:jc w:val="start"/>
        <w:rPr/>
      </w:pPr>
      <w:r>
        <w:rPr>
          <w:i/>
          <w:sz w:val="20"/>
        </w:rPr>
        <w:t xml:space="preserve">Fuente: </w:t>
      </w:r>
      <w:r>
        <w:rPr>
          <w:sz w:val="20"/>
        </w:rPr>
        <w:t>Alrifaai A. (2026).</w:t>
      </w:r>
    </w:p>
    <w:p>
      <w:pPr>
        <w:pStyle w:val="Normal"/>
        <w:rPr/>
      </w:pPr>
      <w:r>
        <w:rPr/>
      </w:r>
    </w:p>
    <w:p>
      <w:pPr>
        <w:pStyle w:val="IUTECPTtulo2"/>
        <w:keepNext w:val="true"/>
        <w:keepLines/>
        <w:spacing w:lineRule="auto" w:line="360" w:before="480" w:after="480"/>
        <w:jc w:val="start"/>
        <w:rPr/>
      </w:pPr>
      <w:bookmarkStart w:id="34" w:name="bm_cap2_crono"/>
      <w:r>
        <w:rPr>
          <w:b/>
          <w:sz w:val="24"/>
        </w:rPr>
        <w:t>CRONOGRAMA DE ACTIVIDADES (DIAGRAMA DE GANTT)</w:t>
      </w:r>
      <w:bookmarkEnd w:id="34"/>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keepNext w:val="true"/>
        <w:keepLines/>
        <w:spacing w:lineRule="auto" w:line="240" w:before="120" w:after="60"/>
        <w:jc w:val="start"/>
        <w:rPr/>
      </w:pPr>
      <w:bookmarkStart w:id="35" w:name="bm_cuadro3"/>
      <w:r>
        <w:rPr>
          <w:b/>
          <w:sz w:val="20"/>
        </w:rPr>
        <w:t xml:space="preserve">Cuadro 3. </w:t>
      </w:r>
      <w:r>
        <w:rPr>
          <w:i/>
          <w:sz w:val="20"/>
        </w:rPr>
        <w:t>Cronograma de actividades de la pasantía.</w:t>
      </w:r>
      <w:bookmarkEnd w:id="35"/>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1"/>
        <w:gridCol w:w="558"/>
        <w:gridCol w:w="556"/>
        <w:gridCol w:w="554"/>
        <w:gridCol w:w="557"/>
        <w:gridCol w:w="557"/>
        <w:gridCol w:w="556"/>
        <w:gridCol w:w="554"/>
        <w:gridCol w:w="558"/>
        <w:gridCol w:w="567"/>
        <w:gridCol w:w="567"/>
      </w:tblGrid>
      <w:tr>
        <w:trPr>
          <w:tblHeader w:val="true"/>
          <w:cantSplit/>
        </w:trPr>
        <w:tc>
          <w:tcPr>
            <w:tcW w:w="2681"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5" w:type="dxa"/>
            <w:gridSpan w:val="4"/>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gridSpan w:val="2"/>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1"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8"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8"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6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6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y reconocimiento de Atención al Cliente y del flujo de solicitudes.</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en Atención al Cliente: registro de pagos, recepción de solicitudes y observación del proceso.</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Levantamiento y descripción del proceso administrativo de afiliaciones e incidencias.</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y aplicación de entrevistas estructuradas al personal relacionado con las solicitudes.</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Diagnóstico de deficiencias y elaboración del diagrama de Ishikawa.</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Revisión y desarrollo de las bases teóricas relacionadas con el control administrativo.</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Análisis del impacto de las debilidades sobre tiempos, trazabilidad y atención al suscriptor.</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flujo estandarizado y de los formatos de control de solicitudes.</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Formulación y validación de la propuesta de mejora.</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Consolidación, revisión y presentación del informe de pasantías.</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operativo en pagos, facturación, seguimiento de casos y reportes administrativos.</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bl>
    <w:p>
      <w:pPr>
        <w:pStyle w:val="Normal"/>
        <w:keepLines/>
        <w:spacing w:lineRule="auto" w:line="240" w:before="0" w:after="0"/>
        <w:ind w:hanging="0"/>
        <w:jc w:val="start"/>
        <w:rPr/>
        <w:sectPr>
          <w:footerReference w:type="even" r:id="rId49"/>
          <w:footerReference w:type="default" r:id="rId50"/>
          <w:footerReference w:type="first" r:id="rId51"/>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Alrifaai 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6" w:name="bm_cap3"/>
      <w:r>
        <w:rPr>
          <w:b/>
          <w:sz w:val="24"/>
        </w:rPr>
        <w:t>MARCO TEÓRICO</w:t>
      </w:r>
      <w:bookmarkEnd w:id="36"/>
    </w:p>
    <w:p>
      <w:pPr>
        <w:pStyle w:val="IUTECPTtulo2"/>
        <w:keepNext w:val="true"/>
        <w:keepLines/>
        <w:spacing w:lineRule="auto" w:line="360" w:before="480" w:after="480"/>
        <w:jc w:val="start"/>
        <w:rPr/>
      </w:pPr>
      <w:bookmarkStart w:id="37" w:name="bm_cap3_bases"/>
      <w:r>
        <w:rPr>
          <w:b/>
          <w:sz w:val="24"/>
        </w:rPr>
        <w:t>Conceptos disciplinares</w:t>
      </w:r>
      <w:bookmarkEnd w:id="37"/>
    </w:p>
    <w:p>
      <w:pPr>
        <w:pStyle w:val="IUTECPTtulo2"/>
        <w:keepNext w:val="true"/>
        <w:keepLines/>
        <w:spacing w:lineRule="auto" w:line="360" w:before="480" w:after="480"/>
        <w:jc w:val="start"/>
        <w:rPr/>
      </w:pPr>
      <w:r>
        <w:rPr>
          <w:b/>
          <w:sz w:val="24"/>
        </w:rPr>
        <w:t>Control Administrativo</w:t>
      </w:r>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IUTECPTtulo2"/>
        <w:keepNext w:val="true"/>
        <w:keepLines/>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IUTECPTtulo2"/>
        <w:keepNext w:val="true"/>
        <w:keepLines/>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IUTECPTtulo2"/>
        <w:keepNext w:val="true"/>
        <w:keepLines/>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IUTECPTtulo2"/>
        <w:keepNext w:val="true"/>
        <w:keepLines/>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IUTECPTtulo2"/>
        <w:keepNext w:val="true"/>
        <w:keepLines/>
        <w:spacing w:lineRule="auto" w:line="360" w:before="480" w:after="480"/>
        <w:jc w:val="start"/>
        <w:rPr/>
      </w:pPr>
      <w:r>
        <w:rPr>
          <w:b/>
          <w:sz w:val="24"/>
        </w:rPr>
        <w:t>Trazabilidad Administrativa de Solicitudes</w:t>
      </w:r>
    </w:p>
    <w:p>
      <w:pPr>
        <w:pStyle w:val="Normal"/>
        <w:spacing w:lineRule="auto" w:line="360" w:before="0" w:after="0"/>
        <w:ind w:firstLine="709"/>
        <w:jc w:val="both"/>
        <w:rPr/>
      </w:pPr>
      <w:r>
        <w:rPr>
          <w:i w:val="false"/>
          <w:sz w:val="24"/>
        </w:rPr>
        <w:t>La trazabilidad administrativa es la capacidad de reconstruir el recorrido de una solicitud mediante registros que permitan identificar su origen, las áreas que intervinieron, los cambios de estatus y el resultado alcanzado. Laudon y Laudon (2016) explican que la información organizada y disponible oportunamente permite controlar operaciones rutinarias y respaldar la toma de decisiones.</w:t>
      </w:r>
    </w:p>
    <w:p>
      <w:pPr>
        <w:pStyle w:val="Normal"/>
        <w:spacing w:lineRule="auto" w:line="360" w:before="0" w:after="0"/>
        <w:ind w:firstLine="709"/>
        <w:jc w:val="both"/>
        <w:rPr/>
      </w:pPr>
      <w:r>
        <w:rPr>
          <w:i w:val="false"/>
          <w:sz w:val="24"/>
        </w:rPr>
        <w:t>En la gestión de servicios, la trazabilidad requiere que cada afiliación o incidencia conserve una identificación uniforme durante su tránsito por Atención al Cliente, Administración y las áreas técnicas. Cuando cada unidad utiliza registros distintos o actualiza la información sin criterios comunes, se pierde continuidad y aumenta el tiempo necesario para determinar el estado real del caso.</w:t>
      </w:r>
    </w:p>
    <w:p>
      <w:pPr>
        <w:pStyle w:val="Normal"/>
        <w:spacing w:lineRule="auto" w:line="360" w:before="0" w:after="0"/>
        <w:ind w:firstLine="709"/>
        <w:jc w:val="both"/>
        <w:rPr/>
      </w:pPr>
      <w:r>
        <w:rPr>
          <w:i w:val="false"/>
          <w:sz w:val="24"/>
        </w:rPr>
        <w:t>La propuesta formulada en este informe fortalece la trazabilidad mediante formatos comunes, responsables por etapa y estados definidos. Estos elementos permiten verificar el avance de las solicitudes sin depender exclusivamente de consultas informales entre departamentos.</w:t>
      </w:r>
    </w:p>
    <w:p>
      <w:pPr>
        <w:pStyle w:val="Normal"/>
        <w:spacing w:lineRule="auto" w:line="360" w:before="0" w:after="0"/>
        <w:ind w:firstLine="709"/>
        <w:jc w:val="both"/>
        <w:rPr/>
      </w:pPr>
      <w:r>
        <w:rPr>
          <w:i w:val="false"/>
          <w:sz w:val="24"/>
        </w:rPr>
        <w:t>En IDETEL, la trazabilidad administrativa representa una condición necesaria para conocer la continuidad de cada solicitud y sustentar las decisiones relacionadas con su atención.</w:t>
      </w:r>
    </w:p>
    <w:p>
      <w:pPr>
        <w:pStyle w:val="IUTECPTtulo2"/>
        <w:keepNext w:val="true"/>
        <w:keepLines/>
        <w:spacing w:lineRule="auto" w:line="360" w:before="480" w:after="480"/>
        <w:jc w:val="start"/>
        <w:rPr/>
      </w:pPr>
      <w:r>
        <w:rPr>
          <w:b/>
          <w:sz w:val="24"/>
        </w:rPr>
        <w:t>Comunicación Interdepartamental</w:t>
      </w:r>
    </w:p>
    <w:p>
      <w:pPr>
        <w:pStyle w:val="Normal"/>
        <w:spacing w:lineRule="auto" w:line="360" w:before="0" w:after="0"/>
        <w:ind w:firstLine="709"/>
        <w:jc w:val="both"/>
        <w:rPr/>
      </w:pPr>
      <w:r>
        <w:rPr>
          <w:i w:val="false"/>
          <w:sz w:val="24"/>
        </w:rPr>
        <w:t>La comunicación interdepartamental comprende el intercambio de información entre unidades que participan en un mismo proceso. En una empresa de telecomunicaciones, la atención de una solicitud puede requerir datos administrativos, comerciales y técnicos, por lo que la coordinación entre las áreas condiciona la oportunidad de la respuesta ofrecida al suscriptor.</w:t>
      </w:r>
    </w:p>
    <w:p>
      <w:pPr>
        <w:pStyle w:val="Normal"/>
        <w:spacing w:lineRule="auto" w:line="360" w:before="0" w:after="0"/>
        <w:ind w:firstLine="709"/>
        <w:jc w:val="both"/>
        <w:rPr/>
      </w:pPr>
      <w:r>
        <w:rPr>
          <w:i w:val="false"/>
          <w:sz w:val="24"/>
        </w:rPr>
        <w:t>Zeithaml, Parasuraman y Berry (1993) relacionan la calidad del servicio con la capacidad organizacional para responder de forma consistente y mantener comunicación con el usuario. Esta capacidad también depende de que las áreas internas reciban información completa, conozcan sus responsabilidades y comuniquen oportunamente el resultado de cada actividad.</w:t>
      </w:r>
    </w:p>
    <w:p>
      <w:pPr>
        <w:pStyle w:val="Normal"/>
        <w:spacing w:lineRule="auto" w:line="360" w:before="0" w:after="0"/>
        <w:ind w:firstLine="709"/>
        <w:jc w:val="both"/>
        <w:rPr/>
      </w:pPr>
      <w:r>
        <w:rPr>
          <w:i w:val="false"/>
          <w:sz w:val="24"/>
        </w:rPr>
        <w:t>El flujo propuesto para IDETEL define puntos de transferencia y responsables, con la finalidad de reducir mensajes dispersos y evitar que una solicitud permanezca sin seguimiento al pasar de una unidad a otra.</w:t>
      </w:r>
    </w:p>
    <w:p>
      <w:pPr>
        <w:pStyle w:val="Normal"/>
        <w:spacing w:lineRule="auto" w:line="360" w:before="0" w:after="0"/>
        <w:ind w:firstLine="709"/>
        <w:jc w:val="both"/>
        <w:rPr/>
      </w:pPr>
      <w:r>
        <w:rPr>
          <w:i w:val="false"/>
          <w:sz w:val="24"/>
        </w:rPr>
        <w:t>La comunicación interdepartamental debe funcionar como parte del procedimiento y dejar evidencia suficiente para que la continuidad de una solicitud no dependa de la memoria del personal.</w:t>
      </w:r>
    </w:p>
    <w:p>
      <w:pPr>
        <w:pStyle w:val="IUTECPTtulo2"/>
        <w:keepNext w:val="true"/>
        <w:keepLines/>
        <w:spacing w:lineRule="auto" w:line="360" w:before="480" w:after="480"/>
        <w:jc w:val="start"/>
        <w:rPr/>
      </w:pPr>
      <w:r>
        <w:rPr>
          <w:b/>
          <w:sz w:val="24"/>
        </w:rPr>
        <w:t>Indicadores de Gestión y Tiempos de Respuesta</w:t>
      </w:r>
    </w:p>
    <w:p>
      <w:pPr>
        <w:pStyle w:val="Normal"/>
        <w:spacing w:lineRule="auto" w:line="360" w:before="0" w:after="0"/>
        <w:ind w:firstLine="709"/>
        <w:jc w:val="both"/>
        <w:rPr/>
      </w:pPr>
      <w:r>
        <w:rPr>
          <w:i w:val="false"/>
          <w:sz w:val="24"/>
        </w:rPr>
        <w:t>Los indicadores de gestión permiten comparar el desempeño real de un proceso con criterios previamente establecidos. Robbins y Coulter (2010) señalan que el control requiere medir las actividades, contrastar los resultados con lo planificado e intervenir cuando se presentan desviaciones significativas.</w:t>
      </w:r>
    </w:p>
    <w:p>
      <w:pPr>
        <w:pStyle w:val="Normal"/>
        <w:spacing w:lineRule="auto" w:line="360" w:before="0" w:after="0"/>
        <w:ind w:firstLine="709"/>
        <w:jc w:val="both"/>
        <w:rPr/>
      </w:pPr>
      <w:r>
        <w:rPr>
          <w:i w:val="false"/>
          <w:sz w:val="24"/>
        </w:rPr>
        <w:t>En la gestión de solicitudes pueden utilizarse medidas como tiempo promedio de atención, cantidad de casos pendientes, porcentaje de solicitudes cerradas dentro del plazo y número de devoluciones por información incompleta. Estos datos deben construirse a partir de registros uniformes para que sus resultados sean comparables y útiles.</w:t>
      </w:r>
    </w:p>
    <w:p>
      <w:pPr>
        <w:pStyle w:val="Normal"/>
        <w:spacing w:lineRule="auto" w:line="360" w:before="0" w:after="0"/>
        <w:ind w:firstLine="709"/>
        <w:jc w:val="both"/>
        <w:rPr/>
      </w:pPr>
      <w:r>
        <w:rPr>
          <w:i w:val="false"/>
          <w:sz w:val="24"/>
        </w:rPr>
        <w:t>La definición de tiempos de referencia e indicadores básicos permite que IDETEL evalúe periódicamente el funcionamiento del flujo estandarizado. De esta forma, la propuesta no se limita a documentar actividades, sino que incorpora criterios para detectar retrasos y orientar acciones correctivas.</w:t>
      </w:r>
    </w:p>
    <w:p>
      <w:pPr>
        <w:pStyle w:val="Normal"/>
        <w:spacing w:lineRule="auto" w:line="360" w:before="0" w:after="0"/>
        <w:ind w:firstLine="709"/>
        <w:jc w:val="both"/>
        <w:rPr/>
      </w:pPr>
      <w:r>
        <w:rPr>
          <w:i w:val="false"/>
          <w:sz w:val="24"/>
        </w:rPr>
        <w:t>Para este informe, los indicadores constituyen un apoyo práctico para comprobar si las mejoras propuestas reducen demoras y facilitan el cierre oportuno de las solicitudes.</w:t>
      </w:r>
    </w:p>
    <w:p>
      <w:pPr>
        <w:pStyle w:val="IUTECPTtulo2"/>
        <w:keepNext w:val="true"/>
        <w:keepLines/>
        <w:spacing w:lineRule="auto" w:line="360" w:before="480" w:after="480"/>
        <w:jc w:val="start"/>
        <w:rPr/>
      </w:pPr>
      <w:bookmarkStart w:id="38" w:name="bm_cap3_legales"/>
      <w:r>
        <w:rPr>
          <w:b/>
          <w:sz w:val="24"/>
        </w:rPr>
        <w:t>Bases legales</w:t>
      </w:r>
      <w:bookmarkEnd w:id="38"/>
    </w:p>
    <w:p>
      <w:pPr>
        <w:pStyle w:val="IUTECPTtulo3"/>
        <w:keepNext w:val="true"/>
        <w:keepLines/>
        <w:spacing w:lineRule="auto" w:line="360" w:before="240" w:after="240"/>
        <w:ind w:firstLine="709"/>
        <w:jc w:val="start"/>
        <w:rPr/>
      </w:pPr>
      <w:r>
        <w:rPr>
          <w:b/>
          <w:i/>
          <w:sz w:val="24"/>
        </w:rPr>
        <w:t>Constitución de la República Bolivariana de Venezuela</w:t>
      </w:r>
    </w:p>
    <w:p>
      <w:pPr>
        <w:pStyle w:val="IUTECPTtulo3"/>
        <w:keepNext w:val="true"/>
        <w:keepLines/>
        <w:spacing w:lineRule="auto" w:line="360" w:before="240" w:after="240"/>
        <w:ind w:firstLine="709"/>
        <w:jc w:val="start"/>
        <w:rPr/>
      </w:pPr>
      <w:r>
        <w:rPr>
          <w:b/>
          <w:i/>
          <w:sz w:val="24"/>
        </w:rPr>
        <w:t>Artículo 112</w:t>
      </w:r>
    </w:p>
    <w:p>
      <w:pPr>
        <w:pStyle w:val="Normal"/>
        <w:spacing w:lineRule="auto" w:line="240" w:before="720" w:after="240"/>
        <w:ind w:start="709" w:end="709"/>
        <w:jc w:val="both"/>
        <w:rPr/>
      </w:pPr>
      <w:r>
        <w:rPr>
          <w:sz w:val="24"/>
        </w:rPr>
        <w:t xml:space="preserve">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w:t>
      </w:r>
    </w:p>
    <w:p>
      <w:pPr>
        <w:pStyle w:val="Normal"/>
        <w:spacing w:lineRule="auto" w:line="360" w:before="240" w:after="240"/>
        <w:ind w:hanging="0" w:start="720"/>
        <w:jc w:val="start"/>
        <w:rPr/>
      </w:pPr>
      <w:r>
        <w:rPr>
          <w:b/>
          <w:sz w:val="24"/>
        </w:rPr>
        <w:t xml:space="preserve">Análisis. </w:t>
      </w:r>
      <w:r>
        <w:rPr>
          <w:sz w:val="24"/>
        </w:rPr>
        <w:t>El artículo reconoce el derecho a desarrollar actividades económicas dentro de los límites establecidos por el ordenamiento jurídico y asigna al Estado funciones de promoción, planificación y regulación. En consecuencia, la actividad empresarial debe combinar la iniciativa privada con una gestión organizada que favorezca la producción de servicios y el cumplimiento de las disposiciones aplicables.</w:t>
      </w:r>
    </w:p>
    <w:p>
      <w:pPr>
        <w:pStyle w:val="Normal"/>
        <w:spacing w:lineRule="auto" w:line="360" w:before="240" w:after="240"/>
        <w:ind w:hanging="0" w:start="720"/>
        <w:jc w:val="start"/>
        <w:rPr/>
      </w:pPr>
      <w:r>
        <w:rPr>
          <w:b/>
          <w:sz w:val="24"/>
        </w:rPr>
        <w:t xml:space="preserve">Aporte legal al informe. </w:t>
      </w:r>
      <w:r>
        <w:rPr>
          <w:sz w:val="24"/>
        </w:rPr>
        <w:t>El aporte al informe es de carácter constitucional general, porque permite ubicar la prestación de servicios de Ingeniería de Telecomunicaciones, C.A. dentro del ejercicio legítimo de una actividad económica. La evaluación del control administrativo contribuye a ordenar la gestión interna de esa actividad y a fortalecer la capacidad de la empresa para atender solicitudes, aunque el artículo no regula específicamente el procedimiento estudiado.</w:t>
      </w:r>
    </w:p>
    <w:p>
      <w:pPr>
        <w:pStyle w:val="IUTECPTtulo3"/>
        <w:keepNext w:val="true"/>
        <w:keepLines/>
        <w:spacing w:lineRule="auto" w:line="360" w:before="240" w:after="240"/>
        <w:ind w:firstLine="709"/>
        <w:jc w:val="start"/>
        <w:rPr/>
      </w:pPr>
      <w:r>
        <w:rPr>
          <w:b/>
          <w:i/>
          <w:sz w:val="24"/>
        </w:rPr>
        <w:t>Código de Comercio</w:t>
      </w:r>
    </w:p>
    <w:p>
      <w:pPr>
        <w:pStyle w:val="IUTECPTtulo3"/>
        <w:keepNext w:val="true"/>
        <w:keepLines/>
        <w:spacing w:lineRule="auto" w:line="360" w:before="240" w:after="240"/>
        <w:ind w:firstLine="709"/>
        <w:jc w:val="start"/>
        <w:rPr/>
      </w:pPr>
      <w:r>
        <w:rPr>
          <w:b/>
          <w:i/>
          <w:sz w:val="24"/>
        </w:rPr>
        <w:t>Artículo 32</w:t>
      </w:r>
    </w:p>
    <w:p>
      <w:pPr>
        <w:pStyle w:val="Normal"/>
        <w:spacing w:lineRule="auto" w:line="240" w:before="720" w:after="240"/>
        <w:ind w:start="709" w:end="709"/>
        <w:jc w:val="both"/>
        <w:rPr/>
      </w:pPr>
      <w:r>
        <w:rPr>
          <w:sz w:val="24"/>
        </w:rPr>
        <w:t xml:space="preserve">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w:t>
      </w:r>
    </w:p>
    <w:p>
      <w:pPr>
        <w:pStyle w:val="Normal"/>
        <w:spacing w:lineRule="auto" w:line="360" w:before="240" w:after="240"/>
        <w:ind w:hanging="0" w:start="720"/>
        <w:jc w:val="start"/>
        <w:rPr/>
      </w:pPr>
      <w:r>
        <w:rPr>
          <w:b/>
          <w:sz w:val="24"/>
        </w:rPr>
        <w:t xml:space="preserve">Análisis. </w:t>
      </w:r>
      <w:r>
        <w:rPr>
          <w:sz w:val="24"/>
        </w:rPr>
        <w:t>El artículo establece la obligación de conservar registros contables y permite incorporar libros auxiliares para mejorar el orden y la claridad de las operaciones mercantiles. Aunque su alcance directo corresponde a la contabilidad, la disposición demuestra la importancia jurídica de mantener información organizada, comprensible y verificable.</w:t>
      </w:r>
    </w:p>
    <w:p>
      <w:pPr>
        <w:pStyle w:val="Normal"/>
        <w:spacing w:lineRule="auto" w:line="360" w:before="240" w:after="0"/>
        <w:ind w:hanging="0" w:start="720"/>
        <w:jc w:val="start"/>
        <w:rPr/>
        <w:sectPr>
          <w:footerReference w:type="even" r:id="rId52"/>
          <w:footerReference w:type="default" r:id="rId53"/>
          <w:footerReference w:type="first" r:id="rId54"/>
          <w:type w:val="nextPage"/>
          <w:pgSz w:w="12240" w:h="15840"/>
          <w:pgMar w:left="2268" w:right="1701" w:gutter="0" w:header="0" w:top="1701" w:footer="720" w:bottom="1701"/>
          <w:pgNumType w:fmt="decimal"/>
          <w:formProt w:val="false"/>
          <w:titlePg/>
          <w:textDirection w:val="lrTb"/>
          <w:docGrid w:type="default" w:linePitch="360" w:charSpace="0"/>
        </w:sectPr>
      </w:pPr>
      <w:r>
        <w:rPr>
          <w:b/>
          <w:sz w:val="24"/>
        </w:rPr>
        <w:t xml:space="preserve">Aporte legal al informe. </w:t>
      </w:r>
      <w:r>
        <w:rPr>
          <w:sz w:val="24"/>
        </w:rPr>
        <w:t>Su aporte al informe se vincula con el principio de orden documental aplicado a pagos, facturación y solicitudes de servicio. Los formatos y mecanismos de seguimiento propuestos no sustituyen los libros contables exigidos por la norma, pero complementan el control administrativo al organizar la información que acompaña las operaciones y facilita su consulta.</w:t>
      </w:r>
    </w:p>
    <w:p>
      <w:pPr>
        <w:pStyle w:val="Normal"/>
        <w:keepNext w:val="true"/>
        <w:keepLines/>
        <w:spacing w:before="1140" w:after="480"/>
        <w:jc w:val="center"/>
        <w:rPr/>
      </w:pPr>
      <w:r>
        <w:rPr>
          <w:b/>
          <w:sz w:val="24"/>
        </w:rPr>
        <w:t>CAPÍTULO IV</w:t>
      </w:r>
    </w:p>
    <w:p>
      <w:pPr>
        <w:pStyle w:val="IUTECPCaptulo"/>
        <w:spacing w:before="480" w:after="0"/>
        <w:jc w:val="center"/>
        <w:rPr/>
      </w:pPr>
      <w:bookmarkStart w:id="39" w:name="bm_cap4"/>
      <w:r>
        <w:rPr>
          <w:b/>
          <w:sz w:val="24"/>
        </w:rPr>
        <w:t>ACTIVIDADES REALIZADAS</w:t>
      </w:r>
      <w:bookmarkEnd w:id="39"/>
    </w:p>
    <w:p>
      <w:pPr>
        <w:pStyle w:val="IUTECPTtulo2"/>
        <w:keepNext w:val="true"/>
        <w:keepLines/>
        <w:spacing w:lineRule="auto" w:line="360" w:before="480" w:after="480"/>
        <w:jc w:val="start"/>
        <w:rPr/>
      </w:pPr>
      <w:bookmarkStart w:id="40" w:name="bm_cap4_desc"/>
      <w:r>
        <w:rPr>
          <w:b/>
          <w:sz w:val="24"/>
        </w:rPr>
        <w:t>Descripción de Actividades Ejecutadas por Semana</w:t>
      </w:r>
      <w:bookmarkEnd w:id="40"/>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G:</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punto de inicio de las solicitudes de afiliación e incidencias, identificando los datos que se generan en Atención al Cliente y la forma en que son comunicados a otras áreas.</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recorrido de las solicitudes desde su recepción, revisión de registros disponibles y elaboración de un esquema preliminar de las etapas y áreas que intervienen en cada tipo de caso.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análisis: </w:t>
      </w:r>
      <w:r>
        <w:rPr>
          <w:sz w:val="24"/>
        </w:rPr>
        <w:t>Diseño de una guía de entrevista estructurada y revisión del flujo observado para precisar los puntos donde se pierde continuidad o se dificulta conocer el estatus de las solicitudes.</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análisis: </w:t>
      </w:r>
      <w:r>
        <w:rPr>
          <w:sz w:val="24"/>
        </w:rPr>
        <w:t>Aplicación de entrevistas estructuradas al personal vinculado con Administración, Atención al Cliente y áreas relacionadas, registrando las principales fallas percibidas en comunicación, control y seguimiento.</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análisis: </w:t>
      </w:r>
      <w:r>
        <w:rPr>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análisis: </w:t>
      </w:r>
      <w:r>
        <w:rPr>
          <w:sz w:val="24"/>
        </w:rPr>
        <w:t>Análisis del impacto de las deficiencias identificadas sobre los tiempos de respuesta, la trazabilidad y la atención al suscriptor, complementando el desarrollo del marco teórico.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estandarizado para la gestión de solicitudes, estableciendo etapas, responsables, tiempos de referencia y puntos de control desde la recepción hasta el cierre; la propuesta y su distribución interdepartamental se presentan en los Anexos A y C.</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 formatos estandarizados para afiliaciones e incidencias y redacción del procedimiento de control que acompaña al flujo propuesto.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análisis: </w:t>
      </w:r>
      <w:r>
        <w:rPr>
          <w:sz w:val="24"/>
        </w:rPr>
        <w:t>Redacción y validación de la propuesta de mejora con el tutor industrial, incorporación de observaciones y preparación del flujograma definitivo del proceso propuesto (véase Anexo A).</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sectPr>
          <w:footerReference w:type="even" r:id="rId55"/>
          <w:footerReference w:type="default" r:id="rId56"/>
          <w:footerReference w:type="first" r:id="rId57"/>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académico, revisión de la normativa IUTECP, incorporación de anexos y correcciones finales para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41" w:name="bm_cap5"/>
      <w:r>
        <w:rPr>
          <w:b/>
          <w:sz w:val="24"/>
        </w:rPr>
        <w:t>CONCLUSIONES Y RECOMENDACIONES</w:t>
      </w:r>
      <w:bookmarkEnd w:id="41"/>
    </w:p>
    <w:p>
      <w:pPr>
        <w:pStyle w:val="IUTECPTtulo2"/>
        <w:keepNext w:val="true"/>
        <w:keepLines/>
        <w:spacing w:lineRule="auto" w:line="360" w:before="480" w:after="480"/>
        <w:jc w:val="start"/>
        <w:rPr/>
      </w:pPr>
      <w:bookmarkStart w:id="42" w:name="bm_cap5_concl"/>
      <w:r>
        <w:rPr>
          <w:b/>
          <w:sz w:val="24"/>
        </w:rPr>
        <w:t>Conclusiones</w:t>
      </w:r>
      <w:bookmarkEnd w:id="42"/>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Normal"/>
        <w:spacing w:lineRule="auto" w:line="360"/>
        <w:ind w:firstLine="709"/>
        <w:jc w:val="both"/>
        <w:rPr/>
      </w:pPr>
      <w:r>
        <w:rPr>
          <w:sz w:val="24"/>
        </w:rPr>
        <w:t>4. La experiencia de pasantía permitió aplicar conocimientos y competencias de Administración vinculados con control, organización de procesos, gestión documental, seguimiento y atención al usuario, fortaleciendo la relación entre la formación académica y las situaciones reales observadas en la empresa.</w:t>
      </w:r>
    </w:p>
    <w:p>
      <w:pPr>
        <w:pStyle w:val="IUTECPTtulo2"/>
        <w:keepNext w:val="true"/>
        <w:keepLines/>
        <w:spacing w:lineRule="auto" w:line="360" w:before="480" w:after="480"/>
        <w:jc w:val="start"/>
        <w:rPr/>
      </w:pPr>
      <w:bookmarkStart w:id="43" w:name="bm_cap5_recom"/>
      <w:r>
        <w:rPr>
          <w:b/>
          <w:sz w:val="24"/>
        </w:rPr>
        <w:t>Recomendaciones</w:t>
      </w:r>
      <w:bookmarkEnd w:id="43"/>
    </w:p>
    <w:p>
      <w:pPr>
        <w:pStyle w:val="Normal"/>
        <w:keepNext w:val="true"/>
        <w:spacing w:before="240" w:after="0"/>
        <w:rPr/>
      </w:pPr>
      <w:r>
        <w:rPr>
          <w:b/>
          <w:sz w:val="24"/>
        </w:rPr>
        <w:t>A la empresa Ingeniería de Telecomunicaciones, C.A.</w:t>
      </w:r>
    </w:p>
    <w:p>
      <w:pPr>
        <w:pStyle w:val="Normal"/>
        <w:spacing w:lineRule="auto" w:line="360" w:before="0" w:after="0"/>
        <w:ind w:firstLine="709"/>
        <w:jc w:val="both"/>
        <w:rPr/>
      </w:pPr>
      <w:r>
        <w:rPr>
          <w:i w:val="false"/>
          <w:sz w:val="24"/>
        </w:rPr>
        <w:t>Implementar progresivamente el flujo estandarizado propuesto y verificar su funcionamiento con un grupo controlado de solicitudes antes de aplicarlo a todos los casos.</w:t>
      </w:r>
    </w:p>
    <w:p>
      <w:pPr>
        <w:pStyle w:val="Normal"/>
        <w:spacing w:lineRule="auto" w:line="360" w:before="0" w:after="0"/>
        <w:ind w:firstLine="709"/>
        <w:jc w:val="both"/>
        <w:rPr/>
      </w:pPr>
      <w:r>
        <w:rPr>
          <w:i w:val="false"/>
          <w:sz w:val="24"/>
        </w:rPr>
        <w:t>Utilizar de manera uniforme los formatos de registro de afiliaciones e incidencias y definir claramente el responsable de actualizar el estatus en cada etapa.</w:t>
      </w:r>
    </w:p>
    <w:p>
      <w:pPr>
        <w:pStyle w:val="Normal"/>
        <w:spacing w:lineRule="auto" w:line="360" w:before="0" w:after="0"/>
        <w:ind w:firstLine="709"/>
        <w:jc w:val="both"/>
        <w:rPr/>
      </w:pPr>
      <w:r>
        <w:rPr>
          <w:i w:val="false"/>
          <w:sz w:val="24"/>
        </w:rPr>
        <w:t>Registrar y revisar periódicamente tiempos de respuesta, solicitudes pendientes y casos cerrados para identificar retrasos recurrentes y aplicar acciones correctivas.</w:t>
      </w:r>
    </w:p>
    <w:p>
      <w:pPr>
        <w:pStyle w:val="Normal"/>
        <w:spacing w:lineRule="auto" w:line="360" w:before="0" w:after="0"/>
        <w:ind w:firstLine="709"/>
        <w:jc w:val="both"/>
        <w:rPr/>
      </w:pPr>
      <w:r>
        <w:rPr>
          <w:i w:val="false"/>
          <w:sz w:val="24"/>
        </w:rPr>
        <w:t>Evaluar posteriormente una herramienta digital centralizada de seguimiento cuando el procedimiento administrativo ya se encuentre formalizado y validado por las áreas involucradas.</w:t>
      </w:r>
    </w:p>
    <w:p>
      <w:pPr>
        <w:pStyle w:val="Normal"/>
        <w:keepNext w:val="true"/>
        <w:spacing w:before="240" w:after="0"/>
        <w:rPr/>
      </w:pPr>
      <w:r>
        <w:rPr>
          <w:b/>
          <w:sz w:val="24"/>
        </w:rPr>
        <w:t>Al Instituto Universitario de Tecnología “Elías Calixto Pompa” (IUTECP).</w:t>
      </w:r>
    </w:p>
    <w:p>
      <w:pPr>
        <w:pStyle w:val="Normal"/>
        <w:spacing w:lineRule="auto" w:line="360" w:before="0" w:after="0"/>
        <w:ind w:firstLine="709"/>
        <w:jc w:val="both"/>
        <w:rPr/>
      </w:pPr>
      <w:r>
        <w:rPr>
          <w:i w:val="false"/>
          <w:sz w:val="24"/>
        </w:rPr>
        <w:t>Continuar fortaleciendo el acompañamiento académico durante las pasantías y la articulación entre los conocimientos adquiridos en la carrera y las situaciones administrativas observadas en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8"/>
          <w:footerReference w:type="default" r:id="rId59"/>
          <w:footerReference w:type="first" r:id="rId60"/>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4" w:name="bm_referencias"/>
      <w:r>
        <w:rPr>
          <w:b/>
          <w:sz w:val="24"/>
        </w:rPr>
        <w:t>REFERENCIAS</w:t>
      </w:r>
      <w:bookmarkEnd w:id="44"/>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Laudon, K., y Laudon, J. (2016). </w:t>
      </w:r>
      <w:r>
        <w:rPr>
          <w:b/>
          <w:sz w:val="24"/>
        </w:rPr>
        <w:t>Sistemas de información gerencial (14va ed.)</w:t>
      </w:r>
      <w:r>
        <w:rPr>
          <w:b w:val="false"/>
          <w:sz w:val="24"/>
        </w:rPr>
        <w:t>. Pearson Educación, México.</w:t>
      </w:r>
    </w:p>
    <w:p>
      <w:pPr>
        <w:pStyle w:val="Normal"/>
        <w:spacing w:lineRule="auto" w:line="240" w:before="0" w:after="480"/>
        <w:ind w:hanging="425" w:start="425"/>
        <w:jc w:val="both"/>
        <w:rPr/>
      </w:pPr>
      <w:r>
        <w:rPr>
          <w:b w:val="false"/>
          <w:sz w:val="24"/>
        </w:rPr>
        <w:t xml:space="preserve">Parasuraman, A., Zeithaml, V., y Berry, L. (1988). </w:t>
      </w:r>
      <w:r>
        <w:rPr>
          <w:b/>
          <w:sz w:val="24"/>
        </w:rPr>
        <w:t>SERVQUAL: A multiple-item scale for measuring consumer perceptions of service quality</w:t>
      </w:r>
      <w:r>
        <w:rPr>
          <w:b w:val="false"/>
          <w:sz w:val="24"/>
        </w:rPr>
        <w:t>. Journal of Retailing, 64(1), 12-40.</w:t>
      </w:r>
    </w:p>
    <w:p>
      <w:pPr>
        <w:pStyle w:val="Normal"/>
        <w:spacing w:lineRule="auto" w:line="240" w:before="0" w:after="480"/>
        <w:ind w:hanging="425" w:start="425"/>
        <w:jc w:val="both"/>
        <w:rPr/>
      </w:pPr>
      <w:r>
        <w:rPr>
          <w:b w:val="false"/>
          <w:sz w:val="24"/>
        </w:rPr>
        <w:t xml:space="preserve">Robbins, S., y Coulter, M. (2010). </w:t>
      </w:r>
      <w:r>
        <w:rPr>
          <w:b/>
          <w:sz w:val="24"/>
        </w:rPr>
        <w:t>Administración (10ma ed.)</w:t>
      </w:r>
      <w:r>
        <w:rPr>
          <w:b w:val="false"/>
          <w:sz w:val="24"/>
        </w:rPr>
        <w:t>. Pearson Educación, México.</w:t>
      </w:r>
    </w:p>
    <w:p>
      <w:pPr>
        <w:pStyle w:val="Normal"/>
        <w:spacing w:lineRule="auto" w:line="240" w:before="0" w:after="0"/>
        <w:ind w:hanging="425" w:start="425"/>
        <w:jc w:val="both"/>
        <w:rPr/>
        <w:sectPr>
          <w:footerReference w:type="even" r:id="rId61"/>
          <w:footerReference w:type="default" r:id="rId62"/>
          <w:footerReference w:type="first" r:id="rId63"/>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Zeithaml, V., Parasuraman, A., y Berry, L. (1993). </w:t>
      </w:r>
      <w:r>
        <w:rPr>
          <w:b/>
          <w:sz w:val="24"/>
        </w:rPr>
        <w:t>Calidad total en la gestión de servicios</w:t>
      </w:r>
      <w:r>
        <w:rPr>
          <w:b w:val="false"/>
          <w:sz w:val="24"/>
        </w:rPr>
        <w:t>. Díaz de Santos, España.</w:t>
      </w:r>
    </w:p>
    <w:p>
      <w:pPr>
        <w:pStyle w:val="Normal"/>
        <w:spacing w:before="6075" w:after="0"/>
        <w:jc w:val="center"/>
        <w:rPr/>
        <w:sectPr>
          <w:footerReference w:type="even" r:id="rId64"/>
          <w:footerReference w:type="default" r:id="rId65"/>
          <w:footerReference w:type="first" r:id="rId66"/>
          <w:type w:val="nextPage"/>
          <w:pgSz w:w="12240" w:h="15840"/>
          <w:pgMar w:left="2268" w:right="1701" w:gutter="0" w:header="0" w:top="1701" w:footer="720" w:bottom="1701"/>
          <w:pgNumType w:fmt="decimal"/>
          <w:formProt w:val="false"/>
          <w:textDirection w:val="lrTb"/>
          <w:docGrid w:type="default" w:linePitch="360" w:charSpace="0"/>
        </w:sectPr>
      </w:pPr>
      <w:bookmarkStart w:id="45" w:name="bm_anexos"/>
      <w:r>
        <w:rPr>
          <w:b/>
          <w:sz w:val="24"/>
        </w:rPr>
        <w:t>ANEXOS</w:t>
      </w:r>
      <w:bookmarkEnd w:id="45"/>
    </w:p>
    <w:p>
      <w:pPr>
        <w:pStyle w:val="Normal"/>
        <w:keepNext w:val="true"/>
        <w:keepLines/>
        <w:spacing w:before="0" w:after="480"/>
        <w:jc w:val="center"/>
        <w:rPr/>
      </w:pPr>
      <w:bookmarkStart w:id="46" w:name="bm_anexoA"/>
      <w:bookmarkEnd w:id="46"/>
      <w:r>
        <w:rPr>
          <w:b/>
          <w:sz w:val="20"/>
        </w:rPr>
        <w:t>ANEXO A</w:t>
      </w:r>
    </w:p>
    <w:p>
      <w:pPr>
        <w:pStyle w:val="Normal"/>
        <w:keepNext w:val="true"/>
        <w:keepLines/>
        <w:spacing w:before="240" w:after="480"/>
        <w:jc w:val="center"/>
        <w:rPr/>
      </w:pPr>
      <w:r>
        <w:rPr>
          <w:b/>
          <w:sz w:val="20"/>
        </w:rPr>
        <w:t>[Flujograma del proceso propuesto de gestión de solicitudes de servicios]</w:t>
      </w:r>
    </w:p>
    <w:p>
      <w:pPr>
        <w:pStyle w:val="Normal"/>
        <w:keepNext w:val="true"/>
        <w:keepLines/>
        <w:jc w:val="center"/>
        <w:rPr/>
      </w:pPr>
      <w:r>
        <w:rPr/>
        <w:drawing>
          <wp:inline distT="0" distB="0" distL="0" distR="0">
            <wp:extent cx="1065530" cy="48602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67"/>
                    <a:stretch>
                      <a:fillRect/>
                    </a:stretch>
                  </pic:blipFill>
                  <pic:spPr bwMode="auto">
                    <a:xfrm>
                      <a:off x="0" y="0"/>
                      <a:ext cx="1065530" cy="4860290"/>
                    </a:xfrm>
                    <a:prstGeom prst="rect">
                      <a:avLst/>
                    </a:prstGeom>
                    <a:noFill/>
                  </pic:spPr>
                </pic:pic>
              </a:graphicData>
            </a:graphic>
          </wp:inline>
        </w:drawing>
      </w:r>
    </w:p>
    <w:p>
      <w:pPr>
        <w:pStyle w:val="Normal"/>
        <w:spacing w:lineRule="auto" w:line="240" w:before="0" w:after="0"/>
        <w:ind w:hanging="0"/>
        <w:jc w:val="center"/>
        <w:rPr/>
        <w:sectPr>
          <w:footerReference w:type="even" r:id="rId68"/>
          <w:footerReference w:type="default" r:id="rId69"/>
          <w:footerReference w:type="first" r:id="rId7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7" w:name="bm_anexoB"/>
      <w:bookmarkEnd w:id="47"/>
      <w:r>
        <w:rPr>
          <w:b/>
          <w:sz w:val="20"/>
        </w:rPr>
        <w:t>ANEXO B</w:t>
      </w:r>
    </w:p>
    <w:p>
      <w:pPr>
        <w:pStyle w:val="Normal"/>
        <w:keepNext w:val="true"/>
        <w:keepLines/>
        <w:spacing w:before="240" w:after="480"/>
        <w:jc w:val="center"/>
        <w:rPr/>
      </w:pPr>
      <w:r>
        <w:rPr>
          <w:b/>
          <w:sz w:val="20"/>
        </w:rPr>
        <w:t>[Flujograma AS-IS de afiliaciones e incidencias]</w:t>
      </w:r>
    </w:p>
    <w:p>
      <w:pPr>
        <w:pStyle w:val="Normal"/>
        <w:keepNext w:val="true"/>
        <w:keepLines/>
        <w:jc w:val="center"/>
        <w:rPr/>
      </w:pPr>
      <w:r>
        <w:rPr/>
        <w:drawing>
          <wp:inline distT="0" distB="0" distL="0" distR="0">
            <wp:extent cx="2550795" cy="5400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1"/>
                    <a:stretch>
                      <a:fillRect/>
                    </a:stretch>
                  </pic:blipFill>
                  <pic:spPr bwMode="auto">
                    <a:xfrm>
                      <a:off x="0" y="0"/>
                      <a:ext cx="2550795" cy="5400040"/>
                    </a:xfrm>
                    <a:prstGeom prst="rect">
                      <a:avLst/>
                    </a:prstGeom>
                    <a:noFill/>
                  </pic:spPr>
                </pic:pic>
              </a:graphicData>
            </a:graphic>
          </wp:inline>
        </w:drawing>
      </w:r>
    </w:p>
    <w:p>
      <w:pPr>
        <w:pStyle w:val="Normal"/>
        <w:spacing w:lineRule="auto" w:line="240" w:before="0" w:after="0"/>
        <w:ind w:hanging="0"/>
        <w:jc w:val="center"/>
        <w:rPr/>
        <w:sectPr>
          <w:footerReference w:type="even" r:id="rId72"/>
          <w:footerReference w:type="default" r:id="rId73"/>
          <w:footerReference w:type="first" r:id="rId74"/>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8" w:name="bm_anexoC"/>
      <w:bookmarkEnd w:id="48"/>
      <w:r>
        <w:rPr>
          <w:b/>
          <w:sz w:val="20"/>
        </w:rPr>
        <w:t>ANEXO C</w:t>
      </w:r>
    </w:p>
    <w:p>
      <w:pPr>
        <w:pStyle w:val="Normal"/>
        <w:keepNext w:val="true"/>
        <w:keepLines/>
        <w:spacing w:before="240" w:after="480"/>
        <w:jc w:val="center"/>
        <w:rPr/>
      </w:pPr>
      <w:r>
        <w:rPr>
          <w:b/>
          <w:sz w:val="20"/>
        </w:rPr>
        <w:t>[Swimlane interdepartamental de gestión de solicitudes]</w:t>
      </w:r>
    </w:p>
    <w:p>
      <w:pPr>
        <w:pStyle w:val="Normal"/>
        <w:keepNext w:val="true"/>
        <w:keepLines/>
        <w:jc w:val="center"/>
        <w:rPr/>
      </w:pPr>
      <w:r>
        <w:rPr/>
        <w:drawing>
          <wp:inline distT="0" distB="0" distL="0" distR="0">
            <wp:extent cx="5039995" cy="2942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5"/>
                    <a:stretch>
                      <a:fillRect/>
                    </a:stretch>
                  </pic:blipFill>
                  <pic:spPr bwMode="auto">
                    <a:xfrm>
                      <a:off x="0" y="0"/>
                      <a:ext cx="5039995" cy="2942590"/>
                    </a:xfrm>
                    <a:prstGeom prst="rect">
                      <a:avLst/>
                    </a:prstGeom>
                    <a:noFill/>
                  </pic:spPr>
                </pic:pic>
              </a:graphicData>
            </a:graphic>
          </wp:inline>
        </w:drawing>
      </w:r>
    </w:p>
    <w:p>
      <w:pPr>
        <w:pStyle w:val="Normal"/>
        <w:spacing w:lineRule="auto" w:line="240" w:before="0" w:after="0"/>
        <w:ind w:hanging="0"/>
        <w:jc w:val="center"/>
        <w:rPr/>
        <w:sectPr>
          <w:footerReference w:type="even" r:id="rId76"/>
          <w:footerReference w:type="default" r:id="rId77"/>
          <w:footerReference w:type="first" r:id="rId7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9" w:name="bm_anexoD"/>
      <w:bookmarkEnd w:id="49"/>
      <w:r>
        <w:rPr>
          <w:b/>
          <w:sz w:val="20"/>
        </w:rPr>
        <w:t>ANEXO D</w:t>
      </w:r>
    </w:p>
    <w:p>
      <w:pPr>
        <w:pStyle w:val="Normal"/>
        <w:keepNext w:val="true"/>
        <w:keepLines/>
        <w:spacing w:before="240" w:after="480"/>
        <w:jc w:val="center"/>
        <w:rPr/>
      </w:pPr>
      <w:r>
        <w:rPr>
          <w:b/>
          <w:sz w:val="20"/>
        </w:rPr>
        <w:t>[Estados de una solicitud de servicio]</w:t>
      </w:r>
    </w:p>
    <w:p>
      <w:pPr>
        <w:pStyle w:val="Normal"/>
        <w:keepNext w:val="true"/>
        <w:keepLines/>
        <w:jc w:val="center"/>
        <w:rPr/>
      </w:pPr>
      <w:r>
        <w:rPr/>
        <w:drawing>
          <wp:inline distT="0" distB="0" distL="0" distR="0">
            <wp:extent cx="4679950" cy="2219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79"/>
                    <a:stretch>
                      <a:fillRect/>
                    </a:stretch>
                  </pic:blipFill>
                  <pic:spPr bwMode="auto">
                    <a:xfrm>
                      <a:off x="0" y="0"/>
                      <a:ext cx="4679950" cy="2219960"/>
                    </a:xfrm>
                    <a:prstGeom prst="rect">
                      <a:avLst/>
                    </a:prstGeom>
                    <a:noFill/>
                  </pic:spPr>
                </pic:pic>
              </a:graphicData>
            </a:graphic>
          </wp:inline>
        </w:drawing>
      </w:r>
    </w:p>
    <w:p>
      <w:pPr>
        <w:pStyle w:val="Normal"/>
        <w:spacing w:lineRule="auto" w:line="240" w:before="0" w:after="0"/>
        <w:ind w:hanging="0"/>
        <w:jc w:val="center"/>
        <w:rPr/>
        <w:sectPr>
          <w:footerReference w:type="even" r:id="rId80"/>
          <w:footerReference w:type="default" r:id="rId81"/>
          <w:footerReference w:type="first" r:id="rId82"/>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0" w:name="bm_anexoE"/>
      <w:bookmarkEnd w:id="50"/>
      <w:r>
        <w:rPr>
          <w:b/>
          <w:sz w:val="20"/>
        </w:rPr>
        <w:t>ANEXO E</w:t>
      </w:r>
    </w:p>
    <w:p>
      <w:pPr>
        <w:pStyle w:val="Normal"/>
        <w:keepNext w:val="true"/>
        <w:keepLines/>
        <w:spacing w:before="240" w:after="480"/>
        <w:jc w:val="center"/>
        <w:rPr/>
      </w:pPr>
      <w:r>
        <w:rPr>
          <w:b/>
          <w:sz w:val="20"/>
        </w:rPr>
        <w:t>[Comunicación interdepartamental]</w:t>
      </w:r>
    </w:p>
    <w:p>
      <w:pPr>
        <w:pStyle w:val="Normal"/>
        <w:keepNext w:val="true"/>
        <w:keepLines/>
        <w:jc w:val="center"/>
        <w:rPr/>
      </w:pPr>
      <w:r>
        <w:rPr/>
        <w:drawing>
          <wp:inline distT="0" distB="0" distL="0" distR="0">
            <wp:extent cx="3651885"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3"/>
                    <a:stretch>
                      <a:fillRect/>
                    </a:stretch>
                  </pic:blipFill>
                  <pic:spPr bwMode="auto">
                    <a:xfrm>
                      <a:off x="0" y="0"/>
                      <a:ext cx="3651885" cy="4679950"/>
                    </a:xfrm>
                    <a:prstGeom prst="rect">
                      <a:avLst/>
                    </a:prstGeom>
                    <a:noFill/>
                  </pic:spPr>
                </pic:pic>
              </a:graphicData>
            </a:graphic>
          </wp:inline>
        </w:drawing>
      </w:r>
    </w:p>
    <w:p>
      <w:pPr>
        <w:pStyle w:val="Normal"/>
        <w:spacing w:lineRule="auto" w:line="240" w:before="0" w:after="0"/>
        <w:ind w:hanging="0"/>
        <w:jc w:val="center"/>
        <w:rPr/>
        <w:sectPr>
          <w:footerReference w:type="even" r:id="rId84"/>
          <w:footerReference w:type="default" r:id="rId85"/>
          <w:footerReference w:type="first" r:id="rId86"/>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1" w:name="bm_anexoF"/>
      <w:bookmarkEnd w:id="51"/>
      <w:r>
        <w:rPr>
          <w:b/>
          <w:sz w:val="20"/>
        </w:rPr>
        <w:t>ANEXO F</w:t>
      </w:r>
    </w:p>
    <w:p>
      <w:pPr>
        <w:pStyle w:val="Normal"/>
        <w:keepNext w:val="true"/>
        <w:keepLines/>
        <w:spacing w:before="240" w:after="480"/>
        <w:jc w:val="center"/>
        <w:rPr/>
      </w:pPr>
      <w:r>
        <w:rPr>
          <w:b/>
          <w:sz w:val="20"/>
        </w:rPr>
        <w:t>[Comparación AS-IS y TO-BE del control de solicitudes]</w:t>
      </w:r>
    </w:p>
    <w:p>
      <w:pPr>
        <w:pStyle w:val="Normal"/>
        <w:keepNext w:val="true"/>
        <w:keepLines/>
        <w:jc w:val="center"/>
        <w:rPr/>
      </w:pPr>
      <w:r>
        <w:rPr/>
        <w:drawing>
          <wp:inline distT="0" distB="0" distL="0" distR="0">
            <wp:extent cx="4679950" cy="4679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87"/>
                    <a:stretch>
                      <a:fillRect/>
                    </a:stretch>
                  </pic:blipFill>
                  <pic:spPr bwMode="auto">
                    <a:xfrm>
                      <a:off x="0" y="0"/>
                      <a:ext cx="4679950" cy="4679950"/>
                    </a:xfrm>
                    <a:prstGeom prst="rect">
                      <a:avLst/>
                    </a:prstGeom>
                    <a:noFill/>
                  </pic:spPr>
                </pic:pic>
              </a:graphicData>
            </a:graphic>
          </wp:inline>
        </w:drawing>
      </w:r>
    </w:p>
    <w:p>
      <w:pPr>
        <w:pStyle w:val="Normal"/>
        <w:spacing w:lineRule="auto" w:line="240" w:before="0" w:after="0"/>
        <w:ind w:hanging="0"/>
        <w:jc w:val="center"/>
        <w:rPr/>
        <w:sectPr>
          <w:footerReference w:type="even" r:id="rId88"/>
          <w:footerReference w:type="default" r:id="rId89"/>
          <w:footerReference w:type="first" r:id="rId9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2" w:name="bm_anexoG"/>
      <w:bookmarkEnd w:id="52"/>
      <w:r>
        <w:rPr>
          <w:b/>
          <w:sz w:val="20"/>
        </w:rPr>
        <w:t>ANEXO G</w:t>
      </w:r>
    </w:p>
    <w:p>
      <w:pPr>
        <w:pStyle w:val="Normal"/>
        <w:keepNext w:val="true"/>
        <w:keepLines/>
        <w:spacing w:before="240" w:after="480"/>
        <w:jc w:val="center"/>
        <w:rPr/>
      </w:pPr>
      <w:r>
        <w:rPr>
          <w:b/>
          <w:sz w:val="20"/>
        </w:rPr>
        <w:t>[Memoria fotográfica de las actividades realizadas]</w:t>
      </w:r>
    </w:p>
    <w:p>
      <w:pPr>
        <w:pStyle w:val="Normal"/>
        <w:keepNext w:val="true"/>
        <w:keepLines/>
        <w:jc w:val="center"/>
        <w:rPr/>
      </w:pPr>
      <w:r>
        <w:rPr/>
        <w:drawing>
          <wp:inline distT="0" distB="0" distL="0" distR="0">
            <wp:extent cx="4860290" cy="364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1"/>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r>
        <w:br w:type="page"/>
      </w:r>
    </w:p>
    <w:p>
      <w:pPr>
        <w:pStyle w:val="Normal"/>
        <w:keepNext w:val="true"/>
        <w:keepLines/>
        <w:spacing w:before="0" w:after="0"/>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2"/>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r>
        <w:br w:type="page"/>
      </w:r>
    </w:p>
    <w:p>
      <w:pPr>
        <w:pStyle w:val="Normal"/>
        <w:keepNext w:val="true"/>
        <w:keepLines/>
        <w:spacing w:before="0" w:after="0"/>
        <w:jc w:val="center"/>
        <w:rPr/>
      </w:pPr>
      <w:r>
        <w:rPr/>
        <w:drawing>
          <wp:inline distT="0" distB="0" distL="0" distR="0">
            <wp:extent cx="3780155" cy="50399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3"/>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r>
        <w:br w:type="page"/>
      </w:r>
    </w:p>
    <w:p>
      <w:pPr>
        <w:pStyle w:val="Normal"/>
        <w:keepNext w:val="true"/>
        <w:keepLines/>
        <w:spacing w:before="0" w:after="0"/>
        <w:jc w:val="center"/>
        <w:rPr/>
      </w:pPr>
      <w:r>
        <w:rPr/>
        <w:drawing>
          <wp:inline distT="0" distB="0" distL="0" distR="0">
            <wp:extent cx="4860290" cy="3644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94"/>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r>
        <w:br w:type="page"/>
      </w:r>
    </w:p>
    <w:p>
      <w:pPr>
        <w:pStyle w:val="Normal"/>
        <w:keepNext w:val="true"/>
        <w:keepLines/>
        <w:spacing w:before="0" w:after="0"/>
        <w:jc w:val="center"/>
        <w:rPr/>
      </w:pPr>
      <w:r>
        <w:rPr/>
        <w:drawing>
          <wp:inline distT="0" distB="0" distL="0" distR="0">
            <wp:extent cx="3780155" cy="5039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95"/>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r>
        <w:br w:type="page"/>
      </w:r>
    </w:p>
    <w:p>
      <w:pPr>
        <w:pStyle w:val="Normal"/>
        <w:keepNext w:val="true"/>
        <w:keepLines/>
        <w:spacing w:before="0" w:after="0"/>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6"/>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r>
        <w:br w:type="page"/>
      </w:r>
    </w:p>
    <w:p>
      <w:pPr>
        <w:pStyle w:val="Normal"/>
        <w:keepNext w:val="true"/>
        <w:keepLines/>
        <w:spacing w:before="0" w:after="0"/>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97"/>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r>
        <w:br w:type="page"/>
      </w:r>
    </w:p>
    <w:p>
      <w:pPr>
        <w:pStyle w:val="Normal"/>
        <w:keepNext w:val="true"/>
        <w:keepLines/>
        <w:spacing w:before="0" w:after="0"/>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98"/>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240" w:before="0" w:after="240"/>
        <w:ind w:hanging="0"/>
        <w:jc w:val="center"/>
        <w:rPr/>
      </w:pPr>
      <w:r>
        <w:rPr>
          <w:i/>
          <w:sz w:val="20"/>
        </w:rPr>
        <w:t xml:space="preserve">Fuente: </w:t>
      </w:r>
      <w:r>
        <w:rPr>
          <w:sz w:val="20"/>
        </w:rPr>
        <w:t>Registro fotográfico suministrado por la autora (2026).</w:t>
      </w:r>
      <w:r>
        <w:br w:type="page"/>
      </w:r>
    </w:p>
    <w:p>
      <w:pPr>
        <w:pStyle w:val="Normal"/>
        <w:spacing w:lineRule="auto" w:line="240" w:before="0" w:after="240"/>
        <w:ind w:hanging="0"/>
        <w:jc w:val="center"/>
        <w:rPr>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01 al 05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Realizar la inducción institucional y reconocer el funcionamiento de Atención al Cliente, identificando cómo se reciben pagos y solicitudes de los suscriptores.</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Inducción y recorrido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Conocer las instalaciones, normas internas y áreas vinculadas con la atención de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inducción, cuaderno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 Atención al Cliente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las funciones del puesto y los tipos de requerimientos recibidos.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y apoyar el registro de pagos reportados por los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cómo se reciben solicitudes de afiliación e incidencias.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y 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el recorrido básico de la información desde el contacto con el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esquema preliminar del flujo observado en Atención al Cliente.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buena disposición durante el proceso de inducción, adaptándose adecuadamente a las normas internas y demostrando interés en conocer el funcionamiento de Atención al Cliente y el manejo de las solicitudes de los suscriptores.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99"/>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100"/>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101"/>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las actividades de Atención al Cliente y levantar el recorrido de las solicitudes de afiliación e incidencias.</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de pagos informados por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Atención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datos básicos de afiliaciones e incidencias reportadas.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solicitudes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documentación básica asociada a solicitudes de servicio.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de clientes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hacia qué áreas se remiten los diferentes tipos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flujo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puntos donde la información cambia de responsable o pierde continuidad.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actividades de atención y mapa preliminar del proceso de solicitudes.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organización en el registro de pagos, revisión de expedientes y seguimiento inicial de las solicitudes recibidas.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102"/>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103"/>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104"/>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Continuar el apoyo en Atención al Cliente y diseñar la guía de entrevista estructurada para evaluar el seguimiento administrativo de las solicitudes.</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 y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Continuar el apoyo en recepción de pagos y requerimientos de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comprobantes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inicial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solicitudes remitidas a otras áreas.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 guía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Preparar preguntas sobre recepción, actualización, comunicación y cierre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la pertinencia de la guía y realizar ajustes antes de aplicarla.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Planificación de aplicación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las personas y momentos adecuados para aplicar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 de entrevista estructurada y registro actualizado del flujo observado.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capacidad de organización al continuar el seguimiento de los casos y preparar la guía de entrevista, mostrando receptividad ante las recomendaciones realizadas para mejorar el instrumento.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105"/>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106"/>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107"/>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Iniciar la rotación por Administración, apoyar pagos y facturación, y aplicar entrevistas estructuradas para identificar deficiencias de control.</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Rotación a Administración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funciones administrativas relacionadas con pagos, facturación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administrativo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tareas de facturación y verificación de datos.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sistema de registro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estructurada al personal vinculado con el proceso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respuestas sobre demoras, comunicación y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Guías de entrevista aplicadas y matriz preliminar de hallazgos.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se integró adecuadamente al Departamento de Administración, mostrando responsabilidad en las actividades de pagos y facturación. Aplicó las entrevistas de manera organizada y registró correctamente los principales hallazgos identificados.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108"/>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109"/>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110"/>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Completar el diagnóstico de las deficiencias del control administrativo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facturación, actualización de registros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documentos administrativos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registros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Contrastar solicitudes e incidencias para detectar retrasos y datos faltantes.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históricos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Representar las causas asociadas con procedimiento, comunicación, registro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las causas con las principales manifestaciones observadas.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Bases teóricas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Iniciar la redacción del Capítulo III sobre control administrativo y gestión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Bibliografía, 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Diagnóstico situacional, diagrama de Ishikawa y avance del marco teórico.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demostró capacidad de análisis al identificar y organizar las causas asociadas con las deficiencias del control administrativo, desarrollando de forma adecuada el diagrama de Ishikawa y relacionándolo con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111"/>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112"/>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113"/>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el impacto de las deficiencias detectadas y consolidar las bases teóricas del informe.</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conciliación y registro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y verificación de documentos de facturación.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incidencias y solicitudes pendientes para comparar tiempos de atención.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impacto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los retrasos con problemas de trazabilidad y atención al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matriz de análisis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Marco teórico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y revisar las bases teóricas y referencias utilizadas.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Análisis de impacto y Capítulo III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las actividades asignadas con responsabilidad, mostrando capacidad para relacionar las deficiencias identificadas con sus efectos sobre la trazabilidad y atención de las solicitudes, manteniendo además un buen desempeño en las labores administrativas.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114"/>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115"/>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116"/>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estandarizado de gestión de solicitudes y continuar el apoyo en las tareas administrativas del área.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registros de solicitudes y casos activos.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reportes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de reportes administrativos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 secuencia propuesta desde la recepción hasta el cierre del caso.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Responsables por etapa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Asignar el área responsable de registrar o actualizar cada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verificaciones y tiempos de referencia para el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Flujograma preliminar con etapas, responsables y puntos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iniciativa en el diseño del flujo estandarizado, identificando de manera coherente las etapas, responsables y puntos de control necesarios. Asimismo, mantuvo una participación constante en las actividades administrativas del departamento.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117"/>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118"/>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119"/>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y el procedimiento de control que acompaña al flujo propuesto.</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facturación y verificación de documentos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facturas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información de casos administrativos y revisar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afiliaciones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el registro y seguimiento de nuevas afiliaciones.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registrar incidencias y su estatus.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Procedimiento escrito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las reglas básicas de uso de los formatos y actualización del flujo.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afiliación e incidencias y procedimiento escrito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adecuadamente los formatos de afiliación e incidencias, demostrando orden y criterio administrativo en la selección de los datos necesarios para facilitar el registro, actualización y seguimiento de las solicitudes.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
                          <pic:cNvPicPr>
                            <a:picLocks noChangeAspect="1" noChangeArrowheads="1"/>
                          </pic:cNvPicPr>
                        </pic:nvPicPr>
                        <pic:blipFill>
                          <a:blip r:embed="rId120"/>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4"/>
                          <pic:cNvPicPr>
                            <a:picLocks noChangeAspect="1" noChangeArrowheads="1"/>
                          </pic:cNvPicPr>
                        </pic:nvPicPr>
                        <pic:blipFill>
                          <a:blip r:embed="rId121"/>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
                    <pic:cNvPicPr>
                      <a:picLocks noChangeAspect="1" noChangeArrowheads="1"/>
                    </pic:cNvPicPr>
                  </pic:nvPicPr>
                  <pic:blipFill>
                    <a:blip r:embed="rId122"/>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Formular y validar la propuesta de mejora del control administrativo, incorporando el flujograma y los formatos diseñados.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operativo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Participar en las actividades administrativas y de seguimiento de solicitudes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diagnóstico, flujo, formatos y mecanismos de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Flujograma definitivo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el diagrama del proceso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Validación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al tutor industrial y registrar observaciones.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correcciones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de mejora revisada con flujograma y formatos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de mejora de manera organizada, demostrando dominio de los aspectos trabajados durante las pasantías. Recibió las observaciones realizadas con actitud receptiva e incorporó las correcciones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6"/>
                          <pic:cNvPicPr>
                            <a:picLocks noChangeAspect="1" noChangeArrowheads="1"/>
                          </pic:cNvPicPr>
                        </pic:nvPicPr>
                        <pic:blipFill>
                          <a:blip r:embed="rId123"/>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pic:cNvPicPr>
                            <a:picLocks noChangeAspect="1" noChangeArrowheads="1"/>
                          </pic:cNvPicPr>
                        </pic:nvPicPr>
                        <pic:blipFill>
                          <a:blip r:embed="rId124"/>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pic:cNvPicPr>
                      <a:picLocks noChangeAspect="1" noChangeArrowheads="1"/>
                    </pic:cNvPicPr>
                  </pic:nvPicPr>
                  <pic:blipFill>
                    <a:blip r:embed="rId125"/>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Consolidar el informe final, presentar los resultados y completar los recaudos de cierre de las pasantías.</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márgenes, interlineado, paginación, índices y referencias conforme a IUTECP.</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institucional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resultados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el diagnóstico y la propuesta ante la supervisión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laptop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final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Corregir ortografía y coherencia entre objetivos, cronograma, actividades y conclusiones.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firmas, sello y documentación de culminación.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Informe final, propuesta presentada y recaudos institucionales de cierre.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su período de pasantías, demostrando responsabilidad, puntualidad, disposición para recibir orientaciones y cumplimiento de las actividades asignadas. Se evidenció un progreso favorable en el manejo de los procesos administrativos y en la formulación de propuestas de mejora.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5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
                          <pic:cNvPicPr>
                            <a:picLocks noChangeAspect="1" noChangeArrowheads="1"/>
                          </pic:cNvPicPr>
                        </pic:nvPicPr>
                        <pic:blipFill>
                          <a:blip r:embed="rId126"/>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5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0"/>
                          <pic:cNvPicPr>
                            <a:picLocks noChangeAspect="1" noChangeArrowheads="1"/>
                          </pic:cNvPicPr>
                        </pic:nvPicPr>
                        <pic:blipFill>
                          <a:blip r:embed="rId127"/>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1"/>
                    <pic:cNvPicPr>
                      <a:picLocks noChangeAspect="1" noChangeArrowheads="1"/>
                    </pic:cNvPicPr>
                  </pic:nvPicPr>
                  <pic:blipFill>
                    <a:blip r:embed="rId128"/>
                    <a:stretch>
                      <a:fillRect/>
                    </a:stretch>
                  </pic:blipFill>
                  <pic:spPr bwMode="auto">
                    <a:xfrm>
                      <a:off x="0" y="0"/>
                      <a:ext cx="1440180" cy="587375"/>
                    </a:xfrm>
                    <a:prstGeom prst="rect">
                      <a:avLst/>
                    </a:prstGeom>
                    <a:noFill/>
                  </pic:spPr>
                </pic:pic>
              </a:graphicData>
            </a:graphic>
          </wp:inline>
        </w:drawing>
      </w:r>
    </w:p>
    <w:p>
      <w:pPr>
        <w:pStyle w:val="Normal"/>
        <w:rPr/>
      </w:pPr>
      <w:r>
        <w:rPr/>
      </w:r>
    </w:p>
    <w:sectPr>
      <w:footerReference w:type="even" r:id="rId129"/>
      <w:footerReference w:type="default" r:id="rId130"/>
      <w:footerReference w:type="first" r:id="rId131"/>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22</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35</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35</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36</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36</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64</w:t>
    </w:r>
    <w:r>
      <w:rPr>
        <w:sz w:val="20"/>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64</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image" Target="media/image8.png"/><Relationship Id="rId49" Type="http://schemas.openxmlformats.org/officeDocument/2006/relationships/footer" Target="footer40.xml"/><Relationship Id="rId50" Type="http://schemas.openxmlformats.org/officeDocument/2006/relationships/footer" Target="footer41.xml"/><Relationship Id="rId51" Type="http://schemas.openxmlformats.org/officeDocument/2006/relationships/footer" Target="footer42.xml"/><Relationship Id="rId52" Type="http://schemas.openxmlformats.org/officeDocument/2006/relationships/footer" Target="footer43.xml"/><Relationship Id="rId53" Type="http://schemas.openxmlformats.org/officeDocument/2006/relationships/footer" Target="footer44.xml"/><Relationship Id="rId54" Type="http://schemas.openxmlformats.org/officeDocument/2006/relationships/footer" Target="footer45.xml"/><Relationship Id="rId55" Type="http://schemas.openxmlformats.org/officeDocument/2006/relationships/footer" Target="footer46.xml"/><Relationship Id="rId56" Type="http://schemas.openxmlformats.org/officeDocument/2006/relationships/footer" Target="footer47.xml"/><Relationship Id="rId57" Type="http://schemas.openxmlformats.org/officeDocument/2006/relationships/footer" Target="footer48.xml"/><Relationship Id="rId58" Type="http://schemas.openxmlformats.org/officeDocument/2006/relationships/footer" Target="footer49.xml"/><Relationship Id="rId59" Type="http://schemas.openxmlformats.org/officeDocument/2006/relationships/footer" Target="footer50.xml"/><Relationship Id="rId60" Type="http://schemas.openxmlformats.org/officeDocument/2006/relationships/footer" Target="footer51.xml"/><Relationship Id="rId61" Type="http://schemas.openxmlformats.org/officeDocument/2006/relationships/footer" Target="footer52.xml"/><Relationship Id="rId62" Type="http://schemas.openxmlformats.org/officeDocument/2006/relationships/footer" Target="footer53.xml"/><Relationship Id="rId63" Type="http://schemas.openxmlformats.org/officeDocument/2006/relationships/footer" Target="footer54.xml"/><Relationship Id="rId64" Type="http://schemas.openxmlformats.org/officeDocument/2006/relationships/footer" Target="footer55.xml"/><Relationship Id="rId65" Type="http://schemas.openxmlformats.org/officeDocument/2006/relationships/footer" Target="footer56.xml"/><Relationship Id="rId66" Type="http://schemas.openxmlformats.org/officeDocument/2006/relationships/footer" Target="footer57.xml"/><Relationship Id="rId67" Type="http://schemas.openxmlformats.org/officeDocument/2006/relationships/image" Target="media/image9.png"/><Relationship Id="rId68" Type="http://schemas.openxmlformats.org/officeDocument/2006/relationships/footer" Target="footer58.xml"/><Relationship Id="rId69" Type="http://schemas.openxmlformats.org/officeDocument/2006/relationships/footer" Target="footer59.xml"/><Relationship Id="rId70" Type="http://schemas.openxmlformats.org/officeDocument/2006/relationships/footer" Target="footer60.xml"/><Relationship Id="rId71" Type="http://schemas.openxmlformats.org/officeDocument/2006/relationships/image" Target="media/image10.png"/><Relationship Id="rId72" Type="http://schemas.openxmlformats.org/officeDocument/2006/relationships/footer" Target="footer61.xml"/><Relationship Id="rId73" Type="http://schemas.openxmlformats.org/officeDocument/2006/relationships/footer" Target="footer62.xml"/><Relationship Id="rId74" Type="http://schemas.openxmlformats.org/officeDocument/2006/relationships/footer" Target="footer63.xml"/><Relationship Id="rId75" Type="http://schemas.openxmlformats.org/officeDocument/2006/relationships/image" Target="media/image11.png"/><Relationship Id="rId76" Type="http://schemas.openxmlformats.org/officeDocument/2006/relationships/footer" Target="footer64.xml"/><Relationship Id="rId77" Type="http://schemas.openxmlformats.org/officeDocument/2006/relationships/footer" Target="footer65.xml"/><Relationship Id="rId78" Type="http://schemas.openxmlformats.org/officeDocument/2006/relationships/footer" Target="footer66.xml"/><Relationship Id="rId79" Type="http://schemas.openxmlformats.org/officeDocument/2006/relationships/image" Target="media/image12.png"/><Relationship Id="rId80" Type="http://schemas.openxmlformats.org/officeDocument/2006/relationships/footer" Target="footer67.xml"/><Relationship Id="rId81" Type="http://schemas.openxmlformats.org/officeDocument/2006/relationships/footer" Target="footer68.xml"/><Relationship Id="rId82" Type="http://schemas.openxmlformats.org/officeDocument/2006/relationships/footer" Target="footer69.xml"/><Relationship Id="rId83" Type="http://schemas.openxmlformats.org/officeDocument/2006/relationships/image" Target="media/image13.png"/><Relationship Id="rId84" Type="http://schemas.openxmlformats.org/officeDocument/2006/relationships/footer" Target="footer70.xml"/><Relationship Id="rId85" Type="http://schemas.openxmlformats.org/officeDocument/2006/relationships/footer" Target="footer71.xml"/><Relationship Id="rId86" Type="http://schemas.openxmlformats.org/officeDocument/2006/relationships/footer" Target="footer72.xml"/><Relationship Id="rId87" Type="http://schemas.openxmlformats.org/officeDocument/2006/relationships/image" Target="media/image14.png"/><Relationship Id="rId88" Type="http://schemas.openxmlformats.org/officeDocument/2006/relationships/footer" Target="footer73.xml"/><Relationship Id="rId89" Type="http://schemas.openxmlformats.org/officeDocument/2006/relationships/footer" Target="footer74.xml"/><Relationship Id="rId90" Type="http://schemas.openxmlformats.org/officeDocument/2006/relationships/footer" Target="footer75.xml"/><Relationship Id="rId91" Type="http://schemas.openxmlformats.org/officeDocument/2006/relationships/image" Target="media/image15.jpeg"/><Relationship Id="rId92" Type="http://schemas.openxmlformats.org/officeDocument/2006/relationships/image" Target="media/image16.jpeg"/><Relationship Id="rId93" Type="http://schemas.openxmlformats.org/officeDocument/2006/relationships/image" Target="media/image17.jpeg"/><Relationship Id="rId94" Type="http://schemas.openxmlformats.org/officeDocument/2006/relationships/image" Target="media/image18.jpeg"/><Relationship Id="rId95" Type="http://schemas.openxmlformats.org/officeDocument/2006/relationships/image" Target="media/image19.jpeg"/><Relationship Id="rId96" Type="http://schemas.openxmlformats.org/officeDocument/2006/relationships/image" Target="media/image20.jpeg"/><Relationship Id="rId97" Type="http://schemas.openxmlformats.org/officeDocument/2006/relationships/image" Target="media/image21.jpeg"/><Relationship Id="rId98" Type="http://schemas.openxmlformats.org/officeDocument/2006/relationships/image" Target="media/image22.jpeg"/><Relationship Id="rId99" Type="http://schemas.openxmlformats.org/officeDocument/2006/relationships/image" Target="media/image23.png"/><Relationship Id="rId100" Type="http://schemas.openxmlformats.org/officeDocument/2006/relationships/image" Target="media/image2.png"/><Relationship Id="rId101" Type="http://schemas.openxmlformats.org/officeDocument/2006/relationships/image" Target="media/image24.png"/><Relationship Id="rId102" Type="http://schemas.openxmlformats.org/officeDocument/2006/relationships/image" Target="media/image23.png"/><Relationship Id="rId103" Type="http://schemas.openxmlformats.org/officeDocument/2006/relationships/image" Target="media/image2.png"/><Relationship Id="rId104" Type="http://schemas.openxmlformats.org/officeDocument/2006/relationships/image" Target="media/image24.png"/><Relationship Id="rId105" Type="http://schemas.openxmlformats.org/officeDocument/2006/relationships/image" Target="media/image23.png"/><Relationship Id="rId106" Type="http://schemas.openxmlformats.org/officeDocument/2006/relationships/image" Target="media/image2.png"/><Relationship Id="rId107" Type="http://schemas.openxmlformats.org/officeDocument/2006/relationships/image" Target="media/image24.png"/><Relationship Id="rId108" Type="http://schemas.openxmlformats.org/officeDocument/2006/relationships/image" Target="media/image23.png"/><Relationship Id="rId109" Type="http://schemas.openxmlformats.org/officeDocument/2006/relationships/image" Target="media/image2.png"/><Relationship Id="rId110" Type="http://schemas.openxmlformats.org/officeDocument/2006/relationships/image" Target="media/image24.png"/><Relationship Id="rId111" Type="http://schemas.openxmlformats.org/officeDocument/2006/relationships/image" Target="media/image23.png"/><Relationship Id="rId112" Type="http://schemas.openxmlformats.org/officeDocument/2006/relationships/image" Target="media/image2.png"/><Relationship Id="rId113" Type="http://schemas.openxmlformats.org/officeDocument/2006/relationships/image" Target="media/image24.png"/><Relationship Id="rId114" Type="http://schemas.openxmlformats.org/officeDocument/2006/relationships/image" Target="media/image23.png"/><Relationship Id="rId115" Type="http://schemas.openxmlformats.org/officeDocument/2006/relationships/image" Target="media/image2.png"/><Relationship Id="rId116" Type="http://schemas.openxmlformats.org/officeDocument/2006/relationships/image" Target="media/image24.png"/><Relationship Id="rId117" Type="http://schemas.openxmlformats.org/officeDocument/2006/relationships/image" Target="media/image23.png"/><Relationship Id="rId118" Type="http://schemas.openxmlformats.org/officeDocument/2006/relationships/image" Target="media/image2.png"/><Relationship Id="rId119" Type="http://schemas.openxmlformats.org/officeDocument/2006/relationships/image" Target="media/image24.png"/><Relationship Id="rId120" Type="http://schemas.openxmlformats.org/officeDocument/2006/relationships/image" Target="media/image23.png"/><Relationship Id="rId121" Type="http://schemas.openxmlformats.org/officeDocument/2006/relationships/image" Target="media/image2.png"/><Relationship Id="rId122" Type="http://schemas.openxmlformats.org/officeDocument/2006/relationships/image" Target="media/image24.png"/><Relationship Id="rId123" Type="http://schemas.openxmlformats.org/officeDocument/2006/relationships/image" Target="media/image23.png"/><Relationship Id="rId124" Type="http://schemas.openxmlformats.org/officeDocument/2006/relationships/image" Target="media/image2.png"/><Relationship Id="rId125" Type="http://schemas.openxmlformats.org/officeDocument/2006/relationships/image" Target="media/image24.png"/><Relationship Id="rId126" Type="http://schemas.openxmlformats.org/officeDocument/2006/relationships/image" Target="media/image23.png"/><Relationship Id="rId127" Type="http://schemas.openxmlformats.org/officeDocument/2006/relationships/image" Target="media/image2.png"/><Relationship Id="rId128" Type="http://schemas.openxmlformats.org/officeDocument/2006/relationships/image" Target="media/image24.png"/><Relationship Id="rId129" Type="http://schemas.openxmlformats.org/officeDocument/2006/relationships/footer" Target="footer76.xml"/><Relationship Id="rId130" Type="http://schemas.openxmlformats.org/officeDocument/2006/relationships/footer" Target="footer77.xml"/><Relationship Id="rId131" Type="http://schemas.openxmlformats.org/officeDocument/2006/relationships/footer" Target="footer78.xml"/><Relationship Id="rId132" Type="http://schemas.openxmlformats.org/officeDocument/2006/relationships/numbering" Target="numbering.xml"/><Relationship Id="rId133" Type="http://schemas.openxmlformats.org/officeDocument/2006/relationships/fontTable" Target="fontTable.xml"/><Relationship Id="rId134" Type="http://schemas.openxmlformats.org/officeDocument/2006/relationships/settings" Target="settings.xml"/><Relationship Id="rId135" Type="http://schemas.openxmlformats.org/officeDocument/2006/relationships/theme" Target="theme/theme1.xml"/><Relationship Id="rId13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2026-09-02T00:20:34Z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