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6.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21.xml" ContentType="application/vnd.openxmlformats-officedocument.wordprocessingml.footer+xml"/>
  <Override PartName="/word/footer27.xml" ContentType="application/vnd.openxmlformats-officedocument.wordprocessingml.footer+xml"/>
  <Override PartName="/word/footer20.xml" ContentType="application/vnd.openxmlformats-officedocument.wordprocessingml.footer+xml"/>
  <Override PartName="/word/footer70.xml" ContentType="application/vnd.openxmlformats-officedocument.wordprocessingml.footer+xml"/>
  <Override PartName="/word/footer65.xml" ContentType="application/vnd.openxmlformats-officedocument.wordprocessingml.footer+xml"/>
  <Override PartName="/word/styles.xml" ContentType="application/vnd.openxmlformats-officedocument.wordprocessingml.styles+xml"/>
  <Override PartName="/word/footer3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57.xml" ContentType="application/vnd.openxmlformats-officedocument.wordprocessingml.footer+xml"/>
  <Override PartName="/word/footer15.xml" ContentType="application/vnd.openxmlformats-officedocument.wordprocessingml.footer+xml"/>
  <Override PartName="/word/footer58.xml" ContentType="application/vnd.openxmlformats-officedocument.wordprocessingml.footer+xml"/>
  <Override PartName="/word/footer18.xml" ContentType="application/vnd.openxmlformats-officedocument.wordprocessingml.footer+xml"/>
  <Override PartName="/word/theme/theme1.xml" ContentType="application/vnd.openxmlformats-officedocument.theme+xml"/>
  <Override PartName="/word/footer66.xml" ContentType="application/vnd.openxmlformats-officedocument.wordprocessingml.footer+xml"/>
  <Override PartName="/word/footer63.xml" ContentType="application/vnd.openxmlformats-officedocument.wordprocessingml.footer+xml"/>
  <Override PartName="/word/footer14.xml" ContentType="application/vnd.openxmlformats-officedocument.wordprocessingml.footer+xml"/>
  <Override PartName="/word/footer64.xml" ContentType="application/vnd.openxmlformats-officedocument.wordprocessingml.footer+xml"/>
  <Override PartName="/word/footer39.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71.xml" ContentType="application/vnd.openxmlformats-officedocument.wordprocessingml.footer+xml"/>
  <Override PartName="/word/footer69.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35.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1</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4</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5</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7</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13</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14</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Conceptos disciplinares</w:t>
        <w:tab/>
      </w:r>
      <w:r>
        <w:rPr/>
        <w:fldChar w:fldCharType="begin"/>
      </w:r>
      <w:r>
        <w:rPr/>
        <w:instrText xml:space="preserve"> PAGEREF bm_cap3_bases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Bases legales</w:t>
        <w:tab/>
      </w:r>
      <w:r>
        <w:rPr/>
        <w:fldChar w:fldCharType="begin"/>
      </w:r>
      <w:r>
        <w:rPr/>
        <w:instrText xml:space="preserve"> PAGEREF bm_cap3_legales \h </w:instrText>
      </w:r>
      <w:r>
        <w:rPr/>
        <w:fldChar w:fldCharType="separate"/>
      </w:r>
      <w:r>
        <w:rPr/>
        <w:t>20</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28</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29</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30</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13</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14</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4</w:t>
        <w:tab/>
        <w:t>Diagrama de Ishikawa de las causas asociadas a las demoras y pérdida de trazabilidad del proceso de procura</w:t>
        <w:tab/>
      </w:r>
      <w:r>
        <w:rPr/>
        <w:fldChar w:fldCharType="begin"/>
      </w:r>
      <w:r>
        <w:rPr/>
        <w:instrText xml:space="preserve"> PAGEREF bm_grafico4 \h </w:instrText>
      </w:r>
      <w:r>
        <w:rPr/>
        <w:fldChar w:fldCharType="separate"/>
      </w:r>
      <w:r>
        <w:rPr/>
        <w:t>12</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AS-IS del proceso actual de procura</w:t>
        <w:tab/>
      </w:r>
      <w:r>
        <w:rPr/>
        <w:fldChar w:fldCharType="begin"/>
      </w:r>
      <w:r>
        <w:rPr/>
        <w:instrText xml:space="preserve"> PAGEREF bm_anexoA \h </w:instrText>
      </w:r>
      <w:r>
        <w:rPr/>
        <w:fldChar w:fldCharType="separate"/>
      </w:r>
      <w:r>
        <w:rPr/>
        <w:t>31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TO-BE del proceso simplificado propuesto</w:t>
        <w:tab/>
      </w:r>
      <w:r>
        <w:rPr/>
        <w:fldChar w:fldCharType="begin"/>
      </w:r>
      <w:r>
        <w:rPr/>
        <w:instrText xml:space="preserve"> PAGEREF bm_anexoB \h </w:instrText>
      </w:r>
      <w:r>
        <w:rPr/>
        <w:fldChar w:fldCharType="separate"/>
      </w:r>
      <w:r>
        <w:rPr/>
        <w:t>32</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Swimlane del proceso propuesto de procura</w:t>
        <w:tab/>
      </w:r>
      <w:r>
        <w:rPr/>
        <w:fldChar w:fldCharType="begin"/>
      </w:r>
      <w:r>
        <w:rPr/>
        <w:instrText xml:space="preserve"> PAGEREF bm_anexoC \h </w:instrText>
      </w:r>
      <w:r>
        <w:rPr/>
        <w:fldChar w:fldCharType="separate"/>
      </w:r>
      <w:r>
        <w:rPr/>
        <w:t>33</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SIPOC del proceso de procura</w:t>
        <w:tab/>
      </w:r>
      <w:r>
        <w:rPr/>
        <w:fldChar w:fldCharType="begin"/>
      </w:r>
      <w:r>
        <w:rPr/>
        <w:instrText xml:space="preserve"> PAGEREF bm_anexoD \h </w:instrText>
      </w:r>
      <w:r>
        <w:rPr/>
        <w:fldChar w:fldCharType="separate"/>
      </w:r>
      <w:r>
        <w:rPr/>
        <w:t>34</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E</w:t>
        <w:tab/>
        <w:t>Matriz RACI propuesta del proceso de procura</w:t>
        <w:tab/>
      </w:r>
      <w:r>
        <w:rPr/>
        <w:fldChar w:fldCharType="begin"/>
      </w:r>
      <w:r>
        <w:rPr/>
        <w:instrText xml:space="preserve"> PAGEREF bm_anexoE \h </w:instrText>
      </w:r>
      <w:r>
        <w:rPr/>
        <w:fldChar w:fldCharType="separate"/>
      </w:r>
      <w:r>
        <w:rPr/>
        <w:t>35</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 Guzmán, Keidy</w:t>
        <w:br/>
      </w:r>
      <w:r>
        <w:rPr>
          <w:sz w:val="24"/>
        </w:rPr>
        <w:t>C.I.: 28.706.352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procura, simplificación administrativa, control interno, requisiciones,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quince (15)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Lubricantes y Equipos Varyna, C.A.</w:t>
      </w:r>
      <w:bookmarkEnd w:id="18"/>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keepNext w:val="true"/>
        <w:keepLines/>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3157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la empresa.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0" w:after="240"/>
        <w:ind w:hanging="0"/>
        <w:jc w:val="start"/>
        <w:rPr/>
      </w:pPr>
      <w:r>
        <w:rPr>
          <w:i/>
          <w:sz w:val="20"/>
        </w:rPr>
        <w:t xml:space="preserve">Fuente: </w:t>
      </w:r>
      <w:r>
        <w:rPr>
          <w:sz w:val="20"/>
        </w:rPr>
        <w:t>Información suministrada por Lubricantes y Equipos Varyna, C.A. (2026).</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keepNext w:val="true"/>
        <w:keepLines/>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260286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la organización.</w:t>
      </w:r>
      <w:bookmarkEnd w:id="24"/>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sectPr>
          <w:footerReference w:type="even" r:id="rId44"/>
          <w:footerReference w:type="default" r:id="rId45"/>
          <w:footerReference w:type="first" r:id="rId46"/>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pStyle w:val="Normal"/>
        <w:keepNext w:val="true"/>
        <w:keepLines/>
        <w:spacing w:before="1140" w:after="480"/>
        <w:jc w:val="center"/>
        <w:rPr/>
      </w:pPr>
      <w:r>
        <w:rPr>
          <w:b/>
          <w:sz w:val="24"/>
        </w:rPr>
        <w:t>CAPÍTULO II</w:t>
      </w:r>
    </w:p>
    <w:p>
      <w:pPr>
        <w:pStyle w:val="IUTECPCaptulo"/>
        <w:spacing w:before="480" w:after="0"/>
        <w:jc w:val="center"/>
        <w:rPr/>
      </w:pPr>
      <w:bookmarkStart w:id="26" w:name="bm_cap2"/>
      <w:r>
        <w:rPr>
          <w:b/>
          <w:sz w:val="24"/>
        </w:rPr>
        <w:t>DIAGNÓSTICO SITUACIONAL</w:t>
      </w:r>
      <w:bookmarkEnd w:id="26"/>
    </w:p>
    <w:p>
      <w:pPr>
        <w:pStyle w:val="IUTECPTtulo2"/>
        <w:keepNext w:val="true"/>
        <w:keepLines/>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0" w:after="0"/>
        <w:ind w:firstLine="709"/>
        <w:jc w:val="both"/>
        <w:rPr/>
      </w:pPr>
      <w:r>
        <w:rPr>
          <w:i w:val="false"/>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0" w:after="0"/>
        <w:ind w:firstLine="709"/>
        <w:jc w:val="both"/>
        <w:rPr/>
      </w:pPr>
      <w:r>
        <w:rPr>
          <w:i w:val="false"/>
          <w:sz w:val="24"/>
        </w:rPr>
        <w:t>El recorrido observado del proceso se sintetiza en el flujograma AS-IS incorporado como Anexo A, donde se muestran las etapas de recepción, cotización, aprobación, orden de compra, seguimiento y cierre, junto con los principales puntos críticos identificados.</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La representación gráfica de esta técnica se presenta a continuación.</w:t>
      </w:r>
      <w:r>
        <w:rPr>
          <w:sz w:val="24"/>
        </w:rPr>
        <w:t xml:space="preserve"> A partir de la situación descrita, se formula la siguiente interrogante: ¿Cómo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Normal"/>
        <w:keepNext w:val="true"/>
        <w:keepLines/>
        <w:spacing w:before="480" w:after="0"/>
        <w:jc w:val="center"/>
        <w:rPr/>
      </w:pPr>
      <w:r>
        <w:rPr/>
        <w:drawing>
          <wp:inline distT="0" distB="0" distL="0" distR="0">
            <wp:extent cx="4500245" cy="1361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7"/>
                    <a:stretch>
                      <a:fillRect/>
                    </a:stretch>
                  </pic:blipFill>
                  <pic:spPr bwMode="auto">
                    <a:xfrm>
                      <a:off x="0" y="0"/>
                      <a:ext cx="4500245" cy="1361440"/>
                    </a:xfrm>
                    <a:prstGeom prst="rect">
                      <a:avLst/>
                    </a:prstGeom>
                    <a:noFill/>
                  </pic:spPr>
                </pic:pic>
              </a:graphicData>
            </a:graphic>
          </wp:inline>
        </w:drawing>
      </w:r>
    </w:p>
    <w:p>
      <w:pPr>
        <w:pStyle w:val="Normal"/>
        <w:keepNext w:val="true"/>
        <w:keepLines/>
        <w:spacing w:before="120" w:after="480"/>
        <w:jc w:val="center"/>
        <w:rPr/>
      </w:pPr>
      <w:bookmarkStart w:id="28" w:name="bm_grafico4"/>
      <w:r>
        <w:rPr>
          <w:i/>
          <w:sz w:val="20"/>
        </w:rPr>
        <w:t xml:space="preserve">Gráfico 4. </w:t>
      </w:r>
      <w:r>
        <w:rPr>
          <w:b/>
          <w:sz w:val="20"/>
        </w:rPr>
        <w:t>Diagrama de Ishikawa de las causas asociadas a las demoras y pérdida de trazabilidad del proceso de procura.</w:t>
      </w:r>
      <w:bookmarkEnd w:id="28"/>
    </w:p>
    <w:p>
      <w:pPr>
        <w:pStyle w:val="Normal"/>
        <w:spacing w:lineRule="auto" w:line="240" w:before="0" w:after="240"/>
        <w:ind w:hanging="0"/>
        <w:jc w:val="center"/>
        <w:rPr/>
      </w:pPr>
      <w:r>
        <w:rPr>
          <w:i/>
          <w:sz w:val="20"/>
        </w:rPr>
        <w:t xml:space="preserve">Fuente: </w:t>
      </w:r>
      <w:r>
        <w:rPr>
          <w:sz w:val="20"/>
        </w:rPr>
        <w:t>Guzmán K. (2026).</w:t>
      </w:r>
    </w:p>
    <w:p>
      <w:pPr>
        <w:pStyle w:val="IUTECPTtulo2"/>
        <w:keepNext w:val="true"/>
        <w:keepLines/>
        <w:spacing w:lineRule="auto" w:line="360" w:before="480" w:after="480"/>
        <w:jc w:val="start"/>
        <w:rPr/>
      </w:pPr>
      <w:bookmarkStart w:id="29" w:name="bm_cap2_objg"/>
      <w:r>
        <w:rPr>
          <w:b/>
          <w:sz w:val="24"/>
        </w:rPr>
        <w:t>Objetivo General</w:t>
      </w:r>
      <w:bookmarkEnd w:id="29"/>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IUTECPTtulo2"/>
        <w:keepNext w:val="true"/>
        <w:keepLines/>
        <w:spacing w:lineRule="auto" w:line="360" w:before="480" w:after="480"/>
        <w:jc w:val="start"/>
        <w:rPr/>
      </w:pPr>
      <w:bookmarkStart w:id="30" w:name="bm_cap2_obje"/>
      <w:r>
        <w:rPr>
          <w:b/>
          <w:sz w:val="24"/>
        </w:rPr>
        <w:t>Objetivos Específicos</w:t>
      </w:r>
      <w:bookmarkEnd w:id="30"/>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IUTECPTtulo2"/>
        <w:keepNext w:val="true"/>
        <w:keepLines/>
        <w:spacing w:lineRule="auto" w:line="360" w:before="480" w:after="480"/>
        <w:jc w:val="start"/>
        <w:rPr/>
      </w:pPr>
      <w:bookmarkStart w:id="31" w:name="bm_cap2_planif"/>
      <w:r>
        <w:rPr>
          <w:b/>
          <w:sz w:val="24"/>
        </w:rPr>
        <w:t>Planificación integral de objetivos</w:t>
      </w:r>
      <w:bookmarkEnd w:id="31"/>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keepNext w:val="true"/>
        <w:keepLines/>
        <w:spacing w:lineRule="auto" w:line="360" w:before="480" w:after="240"/>
        <w:jc w:val="start"/>
        <w:rPr/>
      </w:pPr>
      <w:bookmarkStart w:id="32" w:name="bm_cuadro2"/>
      <w:r>
        <w:rPr>
          <w:b/>
          <w:sz w:val="20"/>
        </w:rPr>
        <w:t xml:space="preserve">Cuadro 2. </w:t>
      </w:r>
      <w:r>
        <w:rPr>
          <w:i/>
          <w:sz w:val="20"/>
        </w:rPr>
        <w:t>Planificación integral de objetivos específicos.</w:t>
      </w:r>
      <w:bookmarkEnd w:id="32"/>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actual de procura y recorrido de las requisiciones.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ciclo de compras, levantar el flujo existente y aplicar una entrevista estructurada al personal relacionado con la procura.</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entrevista estructurada y revisión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guía de entrevista, cuaderno de notas y expedientes de compra.</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redundancias y causas que generan retrasos o pérdida de trazabilidad en las fases de recepción, cotización, aprobación y seguimiento de las adquisiciones.</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redundancias y causas de demora del proceso.</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Revisar expedientes históricos, comparar tiempos por fase, identificar cuellos de botella y elaborar el diagrama de Ishikawa.</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Análisis documental, análisis de tiempos y diagrama causa-efecto.</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Hojas de registro, expedientes históricos, hoja de cálculo y matriz de causas.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Propuesta de simplificación administrativa de la procura.</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simplificado, formatos de solicitud y orden de compra, matriz de autorización por monto e indicadores básicos de seguimiento; validar la propuesta con el tutor industrial.</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estandarización de formatos y validación técnica.</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hoja de cálculo, herramientas de diagramación y formato de validación.</w:t>
            </w:r>
          </w:p>
        </w:tc>
      </w:tr>
    </w:tbl>
    <w:p>
      <w:pPr>
        <w:pStyle w:val="Normal"/>
        <w:spacing w:lineRule="auto" w:line="240" w:before="0" w:after="240"/>
        <w:ind w:hanging="0"/>
        <w:jc w:val="start"/>
        <w:rPr/>
      </w:pPr>
      <w:r>
        <w:rPr>
          <w:i/>
          <w:sz w:val="20"/>
        </w:rPr>
        <w:t xml:space="preserve">Fuente: </w:t>
      </w:r>
      <w:r>
        <w:rPr>
          <w:sz w:val="20"/>
        </w:rPr>
        <w:t>Guzmán K. (2026).</w:t>
      </w:r>
    </w:p>
    <w:p>
      <w:pPr>
        <w:pStyle w:val="Normal"/>
        <w:rPr/>
      </w:pPr>
      <w:r>
        <w:rPr/>
      </w:r>
    </w:p>
    <w:p>
      <w:pPr>
        <w:pStyle w:val="IUTECPTtulo2"/>
        <w:keepNext w:val="true"/>
        <w:keepLines/>
        <w:spacing w:lineRule="auto" w:line="360" w:before="480" w:after="480"/>
        <w:jc w:val="start"/>
        <w:rPr/>
      </w:pPr>
      <w:bookmarkStart w:id="33" w:name="bm_cap2_crono"/>
      <w:r>
        <w:rPr>
          <w:b/>
          <w:sz w:val="24"/>
        </w:rPr>
        <w:t>CRONOGRAMA DE ACTIVIDADES (DIAGRAMA DE GANTT)</w:t>
      </w:r>
      <w:bookmarkEnd w:id="33"/>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keepNext w:val="true"/>
        <w:keepLines/>
        <w:spacing w:lineRule="auto" w:line="240" w:before="120" w:after="60"/>
        <w:jc w:val="start"/>
        <w:rPr/>
      </w:pPr>
      <w:bookmarkStart w:id="34" w:name="bm_cuadro3"/>
      <w:r>
        <w:rPr>
          <w:b/>
          <w:sz w:val="20"/>
        </w:rPr>
        <w:t xml:space="preserve">Cuadro 3. </w:t>
      </w:r>
      <w:r>
        <w:rPr>
          <w:i/>
          <w:sz w:val="20"/>
        </w:rPr>
        <w:t>Cronograma de actividades de la pasantía.</w:t>
      </w:r>
      <w:bookmarkEnd w:id="34"/>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4"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gridSpan w:val="2"/>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bl>
    <w:p>
      <w:pPr>
        <w:pStyle w:val="Normal"/>
        <w:keepLines/>
        <w:spacing w:lineRule="auto" w:line="240" w:before="0" w:after="0"/>
        <w:ind w:hanging="0"/>
        <w:jc w:val="start"/>
        <w:r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Guzmán K.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5" w:name="bm_cap3"/>
      <w:r>
        <w:rPr>
          <w:b/>
          <w:sz w:val="24"/>
        </w:rPr>
        <w:t>MARCO TEÓRICO</w:t>
      </w:r>
      <w:bookmarkEnd w:id="35"/>
    </w:p>
    <w:p>
      <w:pPr>
        <w:pStyle w:val="IUTECPTtulo2"/>
        <w:keepNext w:val="true"/>
        <w:keepLines/>
        <w:spacing w:lineRule="auto" w:line="360" w:before="480" w:after="480"/>
        <w:jc w:val="start"/>
        <w:rPr/>
      </w:pPr>
      <w:bookmarkStart w:id="36" w:name="bm_cap3_bases"/>
      <w:r>
        <w:rPr>
          <w:b/>
          <w:sz w:val="24"/>
        </w:rPr>
        <w:t>Conceptos disciplinares</w:t>
      </w:r>
      <w:bookmarkEnd w:id="36"/>
    </w:p>
    <w:p>
      <w:pPr>
        <w:pStyle w:val="IUTECPTtulo2"/>
        <w:keepNext w:val="true"/>
        <w:keepLines/>
        <w:spacing w:lineRule="auto" w:line="360" w:before="480" w:after="480"/>
        <w:jc w:val="start"/>
        <w:rPr/>
      </w:pPr>
      <w:r>
        <w:rPr>
          <w:b/>
          <w:sz w:val="24"/>
        </w:rPr>
        <w:t>Procura y Gestión de Compras</w:t>
      </w:r>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explica que la gestión de abastecimiento no se limita al acto de comprar, sino que comprende la identificación de necesidades, la búsqueda y evaluación de proveedores, la negociación de condiciones y el seguimiento del cumplimiento en tiempo, calidad y costo.</w:t>
      </w:r>
    </w:p>
    <w:p>
      <w:pPr>
        <w:pStyle w:val="Normal"/>
        <w:spacing w:lineRule="auto" w:line="360" w:before="0" w:after="0"/>
        <w:ind w:firstLine="709"/>
        <w:jc w:val="both"/>
        <w:rPr/>
      </w:pPr>
      <w:r>
        <w:rPr>
          <w:i w:val="false"/>
          <w:sz w:val="24"/>
        </w:rPr>
        <w:t>Dentro de un proceso administrativo, la procura conecta las necesidades internas de la organización con el mercado proveedor. Por ello, una gestión de compras ordenada requiere que cada requisición sea recibida, revisada, cotizada, autorizada, procesada y cerrada mediante una secuencia conocida por quienes participan en ella.</w:t>
      </w:r>
    </w:p>
    <w:p>
      <w:pPr>
        <w:pStyle w:val="Normal"/>
        <w:spacing w:lineRule="auto" w:line="360" w:before="0" w:after="0"/>
        <w:ind w:firstLine="709"/>
        <w:jc w:val="both"/>
        <w:rPr/>
      </w:pPr>
      <w:r>
        <w:rPr>
          <w:i w:val="false"/>
          <w:sz w:val="24"/>
        </w:rPr>
        <w:t>En Lubricantes y Equipos Varyna, C.A., la procura constituye una función de apoyo relevante para la continuidad de las operaciones industriales y de campo. La ausencia de un canal formalizado de recepción y seguimiento de requisiciones justifica analizar el proceso desde una perspectiva administrativa que permita identificar oportunidades de simplificación sin debilitar los controles necesarios.</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IUTECPTtulo2"/>
        <w:keepNext w:val="true"/>
        <w:keepLines/>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un marco conceptual para coordinar los recursos y las actividades de una organización. Chiavenato (2006) lo desarrolla a partir de las funciones de planificación, organización, dirección y control, las cuales se relacionan entre sí y orientan el cumplimiento de los objetivos institucionales.</w:t>
      </w:r>
    </w:p>
    <w:p>
      <w:pPr>
        <w:pStyle w:val="Normal"/>
        <w:spacing w:lineRule="auto" w:line="360" w:before="0" w:after="0"/>
        <w:ind w:firstLine="709"/>
        <w:jc w:val="both"/>
        <w:rPr/>
      </w:pPr>
      <w:r>
        <w:rPr>
          <w:i w:val="false"/>
          <w:sz w:val="24"/>
        </w:rPr>
        <w:t>Aplicado a la procura, la planificación permite prever requerimientos y tiempos de adquisición; la organización distribuye responsabilidades; la dirección coordina la ejecución de las actividades; y el control verifica que las requisiciones, cotizaciones, autorizaciones y órdenes de compra avancen conforme a criterios previamente definidos.</w:t>
      </w:r>
    </w:p>
    <w:p>
      <w:pPr>
        <w:pStyle w:val="Normal"/>
        <w:spacing w:lineRule="auto" w:line="360" w:before="0" w:after="0"/>
        <w:ind w:firstLine="709"/>
        <w:jc w:val="both"/>
        <w:rPr/>
      </w:pPr>
      <w:r>
        <w:rPr>
          <w:i w:val="false"/>
          <w:sz w:val="24"/>
        </w:rPr>
        <w:t>La propuesta de simplificación formulada en este informe se vincula con el proceso administrativo porque procura ordenar el recorrido de las solicitudes de compra, definir responsables y establecer mecanismos de seguimiento. De esta manera, la reducción de pasos innecesarios se combina con una estructura que permite conservar control sobre cada etapa.</w:t>
      </w:r>
    </w:p>
    <w:p>
      <w:pPr>
        <w:pStyle w:val="IUTECPTtulo2"/>
        <w:keepNext w:val="true"/>
        <w:keepLines/>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comprende políticas, procedimientos y actividades orientadas a proporcionar seguridad razonable sobre la eficiencia de las operaciones, la confiabilidad de la información y el cumplimiento de las disposiciones aplicables. Mantilla (2005) destaca que el control debe formar parte de los procesos y no funcionar como una actividad aislada.</w:t>
      </w:r>
    </w:p>
    <w:p>
      <w:pPr>
        <w:pStyle w:val="Normal"/>
        <w:spacing w:lineRule="auto" w:line="360" w:before="0" w:after="0"/>
        <w:ind w:firstLine="709"/>
        <w:jc w:val="both"/>
        <w:rPr/>
      </w:pPr>
      <w:r>
        <w:rPr>
          <w:i w:val="false"/>
          <w:sz w:val="24"/>
        </w:rPr>
        <w:t>En el área de compras, el control interno se relaciona con la autorización de las adquisiciones, la existencia de soportes documentales, la separación de responsabilidades, la verificación de condiciones y el seguimiento de las operaciones. Estos elementos reducen la posibilidad de omisiones, duplicidades y decisiones sin respaldo suficiente.</w:t>
      </w:r>
    </w:p>
    <w:p>
      <w:pPr>
        <w:pStyle w:val="Normal"/>
        <w:spacing w:lineRule="auto" w:line="360" w:before="0" w:after="0"/>
        <w:ind w:firstLine="709"/>
        <w:jc w:val="both"/>
        <w:rPr/>
      </w:pPr>
      <w:r>
        <w:rPr>
          <w:i w:val="false"/>
          <w:sz w:val="24"/>
        </w:rPr>
        <w:t>Para el proceso de procura analizado, la simplificación propuesta no supone eliminar controles, sino organizarlos dentro de un flujo más claro. La definición de responsables, formatos uniformes y criterios de autorización permite que cada solicitud pueda ser revisada y seguida durante su recorrido administrativo.</w:t>
      </w:r>
    </w:p>
    <w:p>
      <w:pPr>
        <w:pStyle w:val="IUTECPTtulo2"/>
        <w:keepNext w:val="true"/>
        <w:keepLines/>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revisar un procedimiento para identificar actividades redundantes, demoras, duplicidades y pasos que no aportan valor al resultado esperado. Harrington (1993) plantea el mejoramiento de procesos como una revisión sistemática destinada a hacerlos más efectivos, eficientes y adaptables.</w:t>
      </w:r>
    </w:p>
    <w:p>
      <w:pPr>
        <w:pStyle w:val="Normal"/>
        <w:spacing w:lineRule="auto" w:line="360" w:before="0" w:after="0"/>
        <w:ind w:firstLine="709"/>
        <w:jc w:val="both"/>
        <w:rPr/>
      </w:pPr>
      <w:r>
        <w:rPr>
          <w:i w:val="false"/>
          <w:sz w:val="24"/>
        </w:rPr>
        <w:t>En los procesos de compras, simplificar implica procurar que las requisiciones recorran una secuencia comprensible, con documentos definidos, responsables identificados y controles ubicados en puntos pertinentes. La simplificación no debe confundirse con la eliminación indiscriminada de etapas, ya que un proceso puede ser más ágil y mantener las verificaciones necesarias.</w:t>
      </w:r>
    </w:p>
    <w:p>
      <w:pPr>
        <w:pStyle w:val="Normal"/>
        <w:spacing w:lineRule="auto" w:line="360" w:before="0" w:after="0"/>
        <w:ind w:firstLine="709"/>
        <w:jc w:val="both"/>
        <w:rPr/>
      </w:pPr>
      <w:r>
        <w:rPr>
          <w:i w:val="false"/>
          <w:sz w:val="24"/>
        </w:rPr>
        <w:t>Esta perspectiva se relaciona directamente con el título del informe, debido a que la propuesta busca ordenar el proceso de procura de Lubricantes y Equipos Varyna, C.A., reducir la dispersión procedimental y facilitar el seguimiento de cada adquisición desde la solicitud hasta su cierre administrativo.</w:t>
      </w:r>
    </w:p>
    <w:p>
      <w:pPr>
        <w:pStyle w:val="IUTECPTtulo2"/>
        <w:keepNext w:val="true"/>
        <w:keepLines/>
        <w:spacing w:lineRule="auto" w:line="360" w:before="480" w:after="480"/>
        <w:jc w:val="start"/>
        <w:rPr/>
      </w:pPr>
      <w:r>
        <w:rPr>
          <w:b/>
          <w:sz w:val="24"/>
        </w:rPr>
        <w:t>Gestión de Proveedores</w:t>
      </w:r>
    </w:p>
    <w:p>
      <w:pPr>
        <w:pStyle w:val="Normal"/>
        <w:spacing w:lineRule="auto" w:line="360" w:before="0" w:after="0"/>
        <w:ind w:firstLine="709"/>
        <w:jc w:val="both"/>
        <w:rPr/>
      </w:pPr>
      <w:r>
        <w:rPr>
          <w:i w:val="false"/>
          <w:sz w:val="24"/>
        </w:rPr>
        <w:t>La gestión de proveedores forma parte del proceso de abastecimiento porque permite identificar fuentes de suministro, solicitar cotizaciones, comparar condiciones y mantener información útil para futuras adquisiciones. Monterroso (2002) relaciona la gestión de abastecimiento con la selección de proveedores y con la capacidad de asegurar materiales e insumos en condiciones convenientes para la organización.</w:t>
      </w:r>
    </w:p>
    <w:p>
      <w:pPr>
        <w:pStyle w:val="Normal"/>
        <w:spacing w:lineRule="auto" w:line="360" w:before="0" w:after="0"/>
        <w:ind w:firstLine="709"/>
        <w:jc w:val="both"/>
        <w:rPr/>
      </w:pPr>
      <w:r>
        <w:rPr>
          <w:i w:val="false"/>
          <w:sz w:val="24"/>
        </w:rPr>
        <w:t>Una gestión ordenada de proveedores requiere conservar información actualizada sobre ofertas, tiempos de respuesta, condiciones comerciales y cumplimiento de los requerimientos. Esto facilita la comparación de alternativas y reduce la dependencia de búsquedas improvisadas cada vez que surge una necesidad de compra.</w:t>
      </w:r>
    </w:p>
    <w:p>
      <w:pPr>
        <w:pStyle w:val="Normal"/>
        <w:spacing w:lineRule="auto" w:line="360" w:before="0" w:after="0"/>
        <w:ind w:firstLine="709"/>
        <w:jc w:val="both"/>
        <w:rPr/>
      </w:pPr>
      <w:r>
        <w:rPr>
          <w:i w:val="false"/>
          <w:sz w:val="24"/>
        </w:rPr>
        <w:t>En el proceso estudiado, la comunicación con proveedores y el seguimiento de cotizaciones constituyen actividades recurrentes. Por ello, la propuesta de simplificación debe favorecer registros consistentes que permitan conocer qué proveedor fue consultado, qué condiciones ofreció y cuál es el estado de cada cotización.</w:t>
      </w:r>
    </w:p>
    <w:p>
      <w:pPr>
        <w:pStyle w:val="IUTECPTtulo2"/>
        <w:keepNext w:val="true"/>
        <w:keepLines/>
        <w:spacing w:lineRule="auto" w:line="360" w:before="480" w:after="480"/>
        <w:jc w:val="start"/>
        <w:rPr/>
      </w:pPr>
      <w:r>
        <w:rPr>
          <w:b/>
          <w:sz w:val="24"/>
        </w:rPr>
        <w:t>Trazabilidad Documental en la Procura</w:t>
      </w:r>
    </w:p>
    <w:p>
      <w:pPr>
        <w:pStyle w:val="Normal"/>
        <w:spacing w:lineRule="auto" w:line="360" w:before="0" w:after="0"/>
        <w:ind w:firstLine="709"/>
        <w:jc w:val="both"/>
        <w:rPr/>
      </w:pPr>
      <w:r>
        <w:rPr>
          <w:i w:val="false"/>
          <w:sz w:val="24"/>
        </w:rPr>
        <w:t>La trazabilidad documental puede entenderse como la posibilidad de reconstruir el recorrido de una operación mediante registros y evidencias que permitan conocer su origen, estado, responsables y resultado. En un proceso de procura, esta capacidad depende de que requisiciones, cotizaciones, autorizaciones y órdenes de compra mantengan una relación identificable durante todo el ciclo.</w:t>
      </w:r>
    </w:p>
    <w:p>
      <w:pPr>
        <w:pStyle w:val="Normal"/>
        <w:spacing w:lineRule="auto" w:line="360" w:before="0" w:after="0"/>
        <w:ind w:firstLine="709"/>
        <w:jc w:val="both"/>
        <w:rPr/>
      </w:pPr>
      <w:r>
        <w:rPr>
          <w:i w:val="false"/>
          <w:sz w:val="24"/>
        </w:rPr>
        <w:t>Desde la perspectiva del control interno desarrollada por Mantilla (2005), la documentación y la disponibilidad de información confiable respaldan la supervisión de las operaciones. Cuando los soportes están dispersos o el estatus de una solicitud depende únicamente del conocimiento informal del personal, aumenta la dificultad para verificar oportunamente el proceso.</w:t>
      </w:r>
    </w:p>
    <w:p>
      <w:pPr>
        <w:pStyle w:val="Normal"/>
        <w:spacing w:lineRule="auto" w:line="360" w:before="0" w:after="0"/>
        <w:ind w:firstLine="709"/>
        <w:jc w:val="both"/>
        <w:rPr/>
      </w:pPr>
      <w:r>
        <w:rPr>
          <w:i w:val="false"/>
          <w:sz w:val="24"/>
        </w:rPr>
        <w:t>La trazabilidad es un elemento central del diagnóstico de este informe, debido a que una de las situaciones observadas fue la dificultad para conocer con rapidez el estado de algunas adquisiciones. La estandarización de registros y la definición de responsables contribuyen a que el recorrido de cada solicitud pueda ser consultado y verificado.</w:t>
      </w:r>
    </w:p>
    <w:p>
      <w:pPr>
        <w:pStyle w:val="IUTECPTtulo2"/>
        <w:keepNext w:val="true"/>
        <w:keepLines/>
        <w:spacing w:lineRule="auto" w:line="360" w:before="480" w:after="480"/>
        <w:jc w:val="start"/>
        <w:rPr/>
      </w:pPr>
      <w:r>
        <w:rPr>
          <w:b/>
          <w:sz w:val="24"/>
        </w:rPr>
        <w:t>Estandarización de Procedimientos</w:t>
      </w:r>
    </w:p>
    <w:p>
      <w:pPr>
        <w:pStyle w:val="Normal"/>
        <w:spacing w:lineRule="auto" w:line="360" w:before="0" w:after="0"/>
        <w:ind w:firstLine="709"/>
        <w:jc w:val="both"/>
        <w:rPr/>
      </w:pPr>
      <w:r>
        <w:rPr>
          <w:i w:val="false"/>
          <w:sz w:val="24"/>
        </w:rPr>
        <w:t>La estandarización de procedimientos consiste en definir una forma común y documentada de ejecutar actividades que se repiten dentro de una organización. Harrington (1993) vincula el mejoramiento de procesos con la necesidad de comprender, documentar y controlar las actividades para reducir variaciones que afecten los resultados.</w:t>
      </w:r>
    </w:p>
    <w:p>
      <w:pPr>
        <w:pStyle w:val="Normal"/>
        <w:spacing w:lineRule="auto" w:line="360" w:before="0" w:after="0"/>
        <w:ind w:firstLine="709"/>
        <w:jc w:val="both"/>
        <w:rPr/>
      </w:pPr>
      <w:r>
        <w:rPr>
          <w:i w:val="false"/>
          <w:sz w:val="24"/>
        </w:rPr>
        <w:t>En la procura, la utilización de formatos uniformes para requisiciones, solicitudes de cotización y órdenes de compra facilita que los participantes dispongan de la misma información básica. Asimismo, una secuencia documentada permite establecer qué actividad corresponde a cada responsable y qué condición debe cumplirse antes de avanzar a la fase siguiente.</w:t>
      </w:r>
    </w:p>
    <w:p>
      <w:pPr>
        <w:pStyle w:val="Normal"/>
        <w:spacing w:lineRule="auto" w:line="360" w:before="0" w:after="0"/>
        <w:ind w:firstLine="709"/>
        <w:jc w:val="both"/>
        <w:rPr/>
      </w:pPr>
      <w:r>
        <w:rPr>
          <w:i w:val="false"/>
          <w:sz w:val="24"/>
        </w:rPr>
        <w:t>La propuesta desarrollada para Lubricantes y Equipos Varyna, C.A. incorpora este principio mediante formatos estandarizados, responsables definidos y criterios de autorización. La finalidad es disminuir la dispersión procedimental y facilitar que el personal pueda aplicar el proceso de manera uniforme.</w:t>
      </w:r>
    </w:p>
    <w:p>
      <w:pPr>
        <w:pStyle w:val="IUTECPTtulo2"/>
        <w:keepNext w:val="true"/>
        <w:keepLines/>
        <w:spacing w:lineRule="auto" w:line="360" w:before="480" w:after="480"/>
        <w:jc w:val="start"/>
        <w:rPr/>
      </w:pPr>
      <w:r>
        <w:rPr>
          <w:b/>
          <w:sz w:val="24"/>
        </w:rPr>
        <w:t>Indicadores de Gestión Aplicados a Compras</w:t>
      </w:r>
    </w:p>
    <w:p>
      <w:pPr>
        <w:pStyle w:val="Normal"/>
        <w:spacing w:lineRule="auto" w:line="360" w:before="0" w:after="0"/>
        <w:ind w:firstLine="709"/>
        <w:jc w:val="both"/>
        <w:rPr/>
      </w:pPr>
      <w:r>
        <w:rPr>
          <w:i w:val="false"/>
          <w:sz w:val="24"/>
        </w:rPr>
        <w:t>Los indicadores de gestión permiten observar el comportamiento de un proceso mediante datos que facilitan su seguimiento y evaluación. Dentro del proceso administrativo, Chiavenato (2006) relaciona la función de control con la comparación de los resultados obtenidos frente a criterios que permitan identificar desviaciones y aplicar acciones correctivas.</w:t>
      </w:r>
    </w:p>
    <w:p>
      <w:pPr>
        <w:pStyle w:val="Normal"/>
        <w:spacing w:lineRule="auto" w:line="360" w:before="0" w:after="0"/>
        <w:ind w:firstLine="709"/>
        <w:jc w:val="both"/>
        <w:rPr/>
      </w:pPr>
      <w:r>
        <w:rPr>
          <w:i w:val="false"/>
          <w:sz w:val="24"/>
        </w:rPr>
        <w:t>En un proceso de compras pueden emplearse indicadores sencillos vinculados con el tiempo del ciclo de adquisición, el número de solicitudes pendientes, la cantidad de requisiciones procesadas y el cumplimiento de los plazos definidos. Su utilidad depende de que los datos sean registrados de manera consistente y puedan compararse a lo largo del tiempo.</w:t>
      </w:r>
    </w:p>
    <w:p>
      <w:pPr>
        <w:pStyle w:val="Normal"/>
        <w:spacing w:lineRule="auto" w:line="360" w:before="0" w:after="0"/>
        <w:ind w:firstLine="709"/>
        <w:jc w:val="both"/>
        <w:rPr/>
      </w:pPr>
      <w:r>
        <w:rPr>
          <w:i w:val="false"/>
          <w:sz w:val="24"/>
        </w:rPr>
        <w:t>La incorporación de indicadores básicos en la propuesta permite que la simplificación administrativa no se limite a modificar un flujo, sino que pueda ser evaluada después de su aplicación. De esta manera, la empresa podrá identificar si los cambios contribuyen efectivamente a reducir demoras y fortalecer el seguimiento de las adquisiciones.</w:t>
      </w:r>
    </w:p>
    <w:p>
      <w:pPr>
        <w:pStyle w:val="IUTECPTtulo2"/>
        <w:keepNext w:val="true"/>
        <w:keepLines/>
        <w:spacing w:lineRule="auto" w:line="360" w:before="480" w:after="480"/>
        <w:jc w:val="start"/>
        <w:rPr/>
      </w:pPr>
      <w:bookmarkStart w:id="37" w:name="bm_cap3_legales"/>
      <w:r>
        <w:rPr>
          <w:b/>
          <w:sz w:val="24"/>
        </w:rPr>
        <w:t>Bases legales</w:t>
      </w:r>
      <w:bookmarkEnd w:id="37"/>
    </w:p>
    <w:p>
      <w:pPr>
        <w:pStyle w:val="IUTECPTtulo3"/>
        <w:keepNext w:val="true"/>
        <w:keepLines/>
        <w:spacing w:lineRule="auto" w:line="360" w:before="240" w:after="240"/>
        <w:ind w:firstLine="709"/>
        <w:jc w:val="start"/>
        <w:rPr/>
      </w:pPr>
      <w:r>
        <w:rPr>
          <w:b/>
          <w:i/>
          <w:sz w:val="24"/>
        </w:rPr>
        <w:t>Constitución de la República Bolivariana de Venezuela</w:t>
      </w:r>
    </w:p>
    <w:p>
      <w:pPr>
        <w:pStyle w:val="IUTECPTtulo3"/>
        <w:keepNext w:val="true"/>
        <w:keepLines/>
        <w:spacing w:lineRule="auto" w:line="360" w:before="240" w:after="240"/>
        <w:ind w:firstLine="709"/>
        <w:jc w:val="start"/>
        <w:rPr/>
      </w:pPr>
      <w:r>
        <w:rPr>
          <w:b/>
          <w:i/>
          <w:sz w:val="24"/>
        </w:rPr>
        <w:t>Artículo 112</w:t>
      </w:r>
    </w:p>
    <w:p>
      <w:pPr>
        <w:pStyle w:val="Normal"/>
        <w:spacing w:lineRule="auto" w:line="240" w:before="720" w:after="240"/>
        <w:ind w:start="709" w:end="709"/>
        <w:jc w:val="both"/>
        <w:rPr/>
      </w:pPr>
      <w:r>
        <w:rPr>
          <w:sz w:val="24"/>
        </w:rPr>
        <w:t xml:space="preserve">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w:t>
      </w:r>
    </w:p>
    <w:p>
      <w:pPr>
        <w:pStyle w:val="Normal"/>
        <w:spacing w:lineRule="auto" w:line="360" w:before="240" w:after="240"/>
        <w:ind w:hanging="0" w:start="720"/>
        <w:jc w:val="start"/>
        <w:rPr/>
      </w:pPr>
      <w:r>
        <w:rPr>
          <w:b/>
          <w:sz w:val="24"/>
        </w:rPr>
        <w:t xml:space="preserve">Análisis. </w:t>
      </w:r>
      <w:r>
        <w:rPr>
          <w:sz w:val="24"/>
        </w:rPr>
        <w:t>El artículo reconoce la libertad para desarrollar actividades económicas dentro del marco constitucional y legal, al mismo tiempo que atribuye al Estado facultades de regulación y planificación. Desde la perspectiva administrativa, su contenido evidencia que la actividad empresarial debe desarrollarse de manera organizada y compatible con las disposiciones que regulan la operación económica.</w:t>
      </w:r>
    </w:p>
    <w:p>
      <w:pPr>
        <w:pStyle w:val="Normal"/>
        <w:spacing w:lineRule="auto" w:line="360" w:before="240" w:after="240"/>
        <w:ind w:hanging="0" w:start="720"/>
        <w:jc w:val="start"/>
        <w:rPr/>
      </w:pPr>
      <w:r>
        <w:rPr>
          <w:b/>
          <w:sz w:val="24"/>
        </w:rPr>
        <w:t xml:space="preserve">Aporte legal al informe. </w:t>
      </w:r>
      <w:r>
        <w:rPr>
          <w:sz w:val="24"/>
        </w:rPr>
        <w:t>Su aporte al informe es servir como fundamento constitucional general para la actividad de Lubricantes y Equipos Varyna, C.A. La propuesta de simplificación administrativa se desarrolla dentro de una empresa privada que ejerce actividad económica y requiere organizar racionalmente sus procesos internos. El artículo no establece un procedimiento específico de procura, por lo que su relación con el trabajo es de carácter general.</w:t>
      </w:r>
    </w:p>
    <w:p>
      <w:pPr>
        <w:pStyle w:val="IUTECPTtulo3"/>
        <w:keepNext w:val="true"/>
        <w:keepLines/>
        <w:spacing w:lineRule="auto" w:line="360" w:before="240" w:after="240"/>
        <w:ind w:firstLine="709"/>
        <w:jc w:val="start"/>
        <w:rPr/>
      </w:pPr>
      <w:r>
        <w:rPr>
          <w:b/>
          <w:i/>
          <w:sz w:val="24"/>
        </w:rPr>
        <w:t>Código de Comercio</w:t>
      </w:r>
    </w:p>
    <w:p>
      <w:pPr>
        <w:pStyle w:val="IUTECPTtulo3"/>
        <w:keepNext w:val="true"/>
        <w:keepLines/>
        <w:spacing w:lineRule="auto" w:line="360" w:before="240" w:after="240"/>
        <w:ind w:firstLine="709"/>
        <w:jc w:val="start"/>
        <w:rPr/>
      </w:pPr>
      <w:r>
        <w:rPr>
          <w:b/>
          <w:i/>
          <w:sz w:val="24"/>
        </w:rPr>
        <w:t>Artículo 32</w:t>
      </w:r>
    </w:p>
    <w:p>
      <w:pPr>
        <w:pStyle w:val="Normal"/>
        <w:spacing w:lineRule="auto" w:line="240" w:before="720" w:after="240"/>
        <w:ind w:start="709" w:end="709"/>
        <w:jc w:val="both"/>
        <w:rPr/>
      </w:pPr>
      <w:r>
        <w:rPr>
          <w:sz w:val="24"/>
        </w:rPr>
        <w:t xml:space="preserve">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w:t>
      </w:r>
    </w:p>
    <w:p>
      <w:pPr>
        <w:pStyle w:val="Normal"/>
        <w:spacing w:lineRule="auto" w:line="360" w:before="240" w:after="240"/>
        <w:ind w:hanging="0" w:start="720"/>
        <w:jc w:val="start"/>
        <w:rPr/>
      </w:pPr>
      <w:r>
        <w:rPr>
          <w:b/>
          <w:sz w:val="24"/>
        </w:rPr>
        <w:t xml:space="preserve">Análisis. </w:t>
      </w:r>
      <w:r>
        <w:rPr>
          <w:sz w:val="24"/>
        </w:rPr>
        <w:t>El artículo establece la obligación de mantener registros contables y permite utilizar libros auxiliares que favorezcan el orden y la claridad de las operaciones. Aunque la disposición se refiere específicamente a la contabilidad mercantil, expresa la importancia jurídica de conservar información organizada y verificable dentro de la actividad comercial.</w:t>
      </w:r>
    </w:p>
    <w:p>
      <w:pPr>
        <w:pStyle w:val="Normal"/>
        <w:spacing w:lineRule="auto" w:line="360" w:before="240" w:after="0"/>
        <w:ind w:hanging="0" w:start="720"/>
        <w:jc w:val="start"/>
        <w:r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r>
        <w:rPr>
          <w:b/>
          <w:sz w:val="24"/>
        </w:rPr>
        <w:t xml:space="preserve">Aporte legal al informe. </w:t>
      </w:r>
      <w:r>
        <w:rPr>
          <w:sz w:val="24"/>
        </w:rPr>
        <w:t>Su aporte al informe se relaciona con el principio de orden documental que debe acompañar las operaciones de compra. Los formatos, registros y mecanismos de seguimiento propuestos para la procura no sustituyen los libros contables exigidos por la ley, pero complementan el control administrativo de la documentación que antecede y acompaña las adquisiciones de la empresa.</w:t>
      </w:r>
    </w:p>
    <w:p>
      <w:pPr>
        <w:pStyle w:val="Normal"/>
        <w:keepNext w:val="true"/>
        <w:keepLines/>
        <w:spacing w:before="1140" w:after="480"/>
        <w:jc w:val="center"/>
        <w:rPr/>
      </w:pPr>
      <w:r>
        <w:rPr>
          <w:b/>
          <w:sz w:val="24"/>
        </w:rPr>
        <w:t>CAPÍTULO IV</w:t>
      </w:r>
    </w:p>
    <w:p>
      <w:pPr>
        <w:pStyle w:val="IUTECPCaptulo"/>
        <w:spacing w:before="480" w:after="0"/>
        <w:jc w:val="center"/>
        <w:rPr/>
      </w:pPr>
      <w:bookmarkStart w:id="38" w:name="bm_cap4"/>
      <w:r>
        <w:rPr>
          <w:b/>
          <w:sz w:val="24"/>
        </w:rPr>
        <w:t>ACTIVIDADES REALIZADAS</w:t>
      </w:r>
      <w:bookmarkEnd w:id="38"/>
    </w:p>
    <w:p>
      <w:pPr>
        <w:pStyle w:val="IUTECPTtulo2"/>
        <w:keepNext w:val="true"/>
        <w:keepLines/>
        <w:spacing w:lineRule="auto" w:line="360" w:before="480" w:after="480"/>
        <w:jc w:val="start"/>
        <w:rPr/>
      </w:pPr>
      <w:bookmarkStart w:id="39" w:name="bm_cap4_desc"/>
      <w:r>
        <w:rPr>
          <w:b/>
          <w:sz w:val="24"/>
        </w:rPr>
        <w:t>Descripción de Actividades Ejecutadas por Semana</w:t>
      </w:r>
      <w:bookmarkEnd w:id="39"/>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flujo de requisiciones y registro de las primeras situaciones relacionadas con la recepción, seguimiento y control de las solicitudes de compra.</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flujo secuencial del proceso de procura mediante observación directa y conversaciones de reconocimiento con el personal encargado.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análisis: </w:t>
      </w:r>
      <w:r>
        <w:rPr>
          <w:sz w:val="24"/>
        </w:rPr>
        <w:t>Aplicación de una guía de entrevista estructurada al personal relacionado con compras y administración para identificar demoras, duplicidades y dificultades de seguimiento.</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análisis: </w:t>
      </w:r>
      <w:r>
        <w:rPr>
          <w:sz w:val="24"/>
        </w:rPr>
        <w:t>Revisión de expedientes históricos y análisis de tiempos de respuesta por fase con el propósito de determinar las etapas donde se concentran los mayores retrasos.</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análisis: </w:t>
      </w:r>
      <w:r>
        <w:rPr>
          <w:sz w:val="24"/>
        </w:rPr>
        <w:t>Elaboración del diagrama de Ishikawa y jerarquización de las causas asociadas con retrasos, redundancias, falta de estandarización y dificultades de trazabilidad en la procura.</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simplificado del proceso de procura, definiendo etapas, responsables, puntos de control y tiempos de referencia para el seguimiento administrativo; el flujo TO-BE y su distribución por responsables se presentan en los Anexos B y C.</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análisis: </w:t>
      </w:r>
      <w:r>
        <w:rPr>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D y E.</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análisis: </w:t>
      </w:r>
      <w:r>
        <w:rPr>
          <w:sz w:val="24"/>
        </w:rPr>
        <w:t>Redacción de la propuesta de simplificación administrativa integrando el flujo diseñado, los formatos, la matriz de autorización y los mecanismos de seguimiento.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Presentación de la propuesta al tutor industrial, registro de observaciones e incorporación de ajustes al documento final.</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de pasantías, revisión de la normativa de presentación e incorporación de los anexos y correcciones finales antes de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0" w:name="bm_cap5"/>
      <w:r>
        <w:rPr>
          <w:b/>
          <w:sz w:val="24"/>
        </w:rPr>
        <w:t>CONCLUSIONES Y RECOMENDACIONES</w:t>
      </w:r>
      <w:bookmarkEnd w:id="40"/>
    </w:p>
    <w:p>
      <w:pPr>
        <w:pStyle w:val="IUTECPTtulo2"/>
        <w:keepNext w:val="true"/>
        <w:keepLines/>
        <w:spacing w:lineRule="auto" w:line="360" w:before="480" w:after="480"/>
        <w:jc w:val="start"/>
        <w:rPr/>
      </w:pPr>
      <w:bookmarkStart w:id="41" w:name="bm_cap5_concl"/>
      <w:r>
        <w:rPr>
          <w:b/>
          <w:sz w:val="24"/>
        </w:rPr>
        <w:t>Conclusiones</w:t>
      </w:r>
      <w:bookmarkEnd w:id="41"/>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Normal"/>
        <w:spacing w:lineRule="auto" w:line="360"/>
        <w:ind w:firstLine="709"/>
        <w:jc w:val="both"/>
        <w:rPr/>
      </w:pPr>
      <w:r>
        <w:rPr>
          <w:sz w:val="24"/>
        </w:rPr>
        <w:t>4. 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pPr>
        <w:pStyle w:val="IUTECPTtulo2"/>
        <w:keepNext w:val="true"/>
        <w:keepLines/>
        <w:spacing w:lineRule="auto" w:line="360" w:before="480" w:after="480"/>
        <w:jc w:val="start"/>
        <w:rPr/>
      </w:pPr>
      <w:bookmarkStart w:id="42" w:name="bm_cap5_recom"/>
      <w:r>
        <w:rPr>
          <w:b/>
          <w:sz w:val="24"/>
        </w:rPr>
        <w:t>Recomendaciones</w:t>
      </w:r>
      <w:bookmarkEnd w:id="42"/>
    </w:p>
    <w:p>
      <w:pPr>
        <w:pStyle w:val="Normal"/>
        <w:keepNext w:val="true"/>
        <w:spacing w:before="240" w:after="0"/>
        <w:rPr/>
      </w:pPr>
      <w:r>
        <w:rPr>
          <w:b/>
          <w:sz w:val="24"/>
        </w:rPr>
        <w:t>A la empresa Lubricantes y Equipos Varyna, C.A.</w:t>
      </w:r>
    </w:p>
    <w:p>
      <w:pPr>
        <w:pStyle w:val="Normal"/>
        <w:spacing w:lineRule="auto" w:line="360" w:before="0" w:after="0"/>
        <w:ind w:firstLine="709"/>
        <w:jc w:val="both"/>
        <w:rPr/>
      </w:pPr>
      <w:r>
        <w:rPr>
          <w:i w:val="false"/>
          <w:sz w:val="24"/>
        </w:rPr>
        <w:t>Implementar la propuesta de manera gradual, iniciando con la formalización del canal de recepción de requisiciones y la utilización uniforme de los formatos diseñados.</w:t>
      </w:r>
    </w:p>
    <w:p>
      <w:pPr>
        <w:pStyle w:val="Normal"/>
        <w:spacing w:lineRule="auto" w:line="360" w:before="0" w:after="0"/>
        <w:ind w:firstLine="709"/>
        <w:jc w:val="both"/>
        <w:rPr/>
      </w:pPr>
      <w:r>
        <w:rPr>
          <w:i w:val="false"/>
          <w:sz w:val="24"/>
        </w:rPr>
        <w:t>Socializar el flujo simplificado, los responsables y los criterios de autorización con el personal involucrado en la procura antes de su aplicación general.</w:t>
      </w:r>
    </w:p>
    <w:p>
      <w:pPr>
        <w:pStyle w:val="Normal"/>
        <w:spacing w:lineRule="auto" w:line="360" w:before="0" w:after="0"/>
        <w:ind w:firstLine="709"/>
        <w:jc w:val="both"/>
        <w:rPr/>
      </w:pPr>
      <w:r>
        <w:rPr>
          <w:i w:val="false"/>
          <w:sz w:val="24"/>
        </w:rPr>
        <w:t>Registrar mensualmente indicadores básicos, como tiempo promedio del ciclo de compra, solicitudes pendientes y requisiciones tramitadas dentro del plazo definido, para valorar los resultados de la simplificación.</w:t>
      </w:r>
    </w:p>
    <w:p>
      <w:pPr>
        <w:pStyle w:val="Normal"/>
        <w:spacing w:lineRule="auto" w:line="360" w:before="0" w:after="0"/>
        <w:ind w:firstLine="709"/>
        <w:jc w:val="both"/>
        <w:rPr/>
      </w:pPr>
      <w:r>
        <w:rPr>
          <w:i w:val="false"/>
          <w:sz w:val="24"/>
        </w:rPr>
        <w:t>Revisar periódicamente el procedimiento y los formatos con el personal del Departamento Administrativo, incorporando ajustes cuando cambien las necesidades operativas de la empresa.</w:t>
      </w:r>
    </w:p>
    <w:p>
      <w:pPr>
        <w:pStyle w:val="Normal"/>
        <w:keepNext w:val="true"/>
        <w:spacing w:before="240" w:after="0"/>
        <w:rPr/>
      </w:pPr>
      <w:r>
        <w:rPr>
          <w:b/>
          <w:sz w:val="24"/>
        </w:rPr>
        <w:t>Al Instituto Universitario de Tecnología “Elías Calixto Pompa” (IUTECP).</w:t>
      </w:r>
    </w:p>
    <w:p>
      <w:pPr>
        <w:pStyle w:val="Normal"/>
        <w:spacing w:lineRule="auto" w:line="360" w:before="0" w:after="0"/>
        <w:ind w:firstLine="709"/>
        <w:jc w:val="both"/>
        <w:rPr/>
      </w:pPr>
      <w:r>
        <w:rPr>
          <w:i w:val="false"/>
          <w:sz w:val="24"/>
        </w:rPr>
        <w:t>Continuar fortaleciendo el acompañamiento académico durante las pasantías, promoviendo la aplicación de conocimientos de planificación, organización, control y análisis de procesos frente a situaciones administrativas reales de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3" w:name="bm_referencias"/>
      <w:r>
        <w:rPr>
          <w:b/>
          <w:sz w:val="24"/>
        </w:rPr>
        <w:t>REFERENCIAS</w:t>
      </w:r>
      <w:bookmarkEnd w:id="43"/>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Mantilla, S. (2005). </w:t>
      </w:r>
      <w:r>
        <w:rPr>
          <w:b/>
          <w:sz w:val="24"/>
        </w:rPr>
        <w:t>Control interno: Informe COSO (4ta ed.)</w:t>
      </w:r>
      <w:r>
        <w:rPr>
          <w:b w:val="false"/>
          <w:sz w:val="24"/>
        </w:rPr>
        <w:t>. Ecoe Ediciones, Colombia.</w:t>
      </w:r>
    </w:p>
    <w:p>
      <w:pPr>
        <w:pStyle w:val="Normal"/>
        <w:spacing w:lineRule="auto" w:line="240" w:before="0" w:after="0"/>
        <w:ind w:hanging="425" w:start="425"/>
        <w:jc w:val="both"/>
        <w:r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Monterroso, E. (2002). </w:t>
      </w:r>
      <w:r>
        <w:rPr>
          <w:b/>
          <w:sz w:val="24"/>
        </w:rPr>
        <w:t>El proceso de abastecimiento: El aprovisionamiento</w:t>
      </w:r>
      <w:r>
        <w:rPr>
          <w:b w:val="false"/>
          <w:sz w:val="24"/>
        </w:rPr>
        <w:t>. Universidad Nacional de Luján, Argentina.</w:t>
      </w:r>
    </w:p>
    <w:p>
      <w:pPr>
        <w:pStyle w:val="Normal"/>
        <w:spacing w:before="6075" w:after="0"/>
        <w:jc w:val="center"/>
        <w:rPr/>
        <w:sectPr>
          <w:footerReference w:type="even" r:id="rId63"/>
          <w:footerReference w:type="default" r:id="rId64"/>
          <w:footerReference w:type="first" r:id="rId65"/>
          <w:type w:val="nextPage"/>
          <w:pgSz w:w="12240" w:h="15840"/>
          <w:pgMar w:left="2268" w:right="1701" w:gutter="0" w:header="0" w:top="1701" w:footer="720" w:bottom="1701"/>
          <w:pgNumType w:fmt="decimal"/>
          <w:formProt w:val="false"/>
          <w:textDirection w:val="lrTb"/>
          <w:docGrid w:type="default" w:linePitch="360" w:charSpace="0"/>
        </w:sectPr>
      </w:pPr>
      <w:bookmarkStart w:id="44" w:name="bm_anexos"/>
      <w:r>
        <w:rPr>
          <w:b/>
          <w:sz w:val="24"/>
        </w:rPr>
        <w:t>ANEXOS</w:t>
      </w:r>
      <w:bookmarkEnd w:id="44"/>
    </w:p>
    <w:p>
      <w:pPr>
        <w:pStyle w:val="Normal"/>
        <w:keepNext w:val="true"/>
        <w:keepLines/>
        <w:spacing w:before="0" w:after="480"/>
        <w:jc w:val="center"/>
        <w:rPr/>
      </w:pPr>
      <w:bookmarkStart w:id="45" w:name="bm_anexoA"/>
      <w:bookmarkEnd w:id="45"/>
      <w:r>
        <w:rPr>
          <w:b/>
          <w:sz w:val="20"/>
        </w:rPr>
        <w:t>ANEXO A</w:t>
      </w:r>
    </w:p>
    <w:p>
      <w:pPr>
        <w:pStyle w:val="Normal"/>
        <w:keepNext w:val="true"/>
        <w:keepLines/>
        <w:spacing w:before="240" w:after="480"/>
        <w:jc w:val="center"/>
        <w:rPr/>
      </w:pPr>
      <w:r>
        <w:rPr>
          <w:b/>
          <w:sz w:val="20"/>
        </w:rPr>
        <w:t>[Flujograma AS-IS del proceso actual de procura]</w:t>
      </w:r>
    </w:p>
    <w:p>
      <w:pPr>
        <w:pStyle w:val="Normal"/>
        <w:keepNext w:val="true"/>
        <w:keepLines/>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6"/>
                    <a:stretch>
                      <a:fillRect/>
                    </a:stretch>
                  </pic:blipFill>
                  <pic:spPr bwMode="auto">
                    <a:xfrm>
                      <a:off x="0" y="0"/>
                      <a:ext cx="2763520" cy="5400040"/>
                    </a:xfrm>
                    <a:prstGeom prst="rect">
                      <a:avLst/>
                    </a:prstGeom>
                    <a:noFill/>
                  </pic:spPr>
                </pic:pic>
              </a:graphicData>
            </a:graphic>
          </wp:inline>
        </w:drawing>
      </w:r>
    </w:p>
    <w:p>
      <w:pPr>
        <w:pStyle w:val="Normal"/>
        <w:spacing w:lineRule="auto" w:line="240" w:before="0" w:after="0"/>
        <w:ind w:hanging="0"/>
        <w:jc w:val="center"/>
        <w:rPr/>
        <w:sectPr>
          <w:footerReference w:type="even" r:id="rId67"/>
          <w:footerReference w:type="default" r:id="rId68"/>
          <w:footerReference w:type="first" r:id="rId6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6" w:name="bm_anexoB"/>
      <w:bookmarkEnd w:id="46"/>
      <w:r>
        <w:rPr>
          <w:b/>
          <w:sz w:val="20"/>
        </w:rPr>
        <w:t>ANEXO B</w:t>
      </w:r>
    </w:p>
    <w:p>
      <w:pPr>
        <w:pStyle w:val="Normal"/>
        <w:keepNext w:val="true"/>
        <w:keepLines/>
        <w:spacing w:before="240" w:after="480"/>
        <w:jc w:val="center"/>
        <w:rPr/>
      </w:pPr>
      <w:r>
        <w:rPr>
          <w:b/>
          <w:sz w:val="20"/>
        </w:rPr>
        <w:t>[Flujograma TO-BE del proceso simplificado propuesto]</w:t>
      </w:r>
    </w:p>
    <w:p>
      <w:pPr>
        <w:pStyle w:val="Normal"/>
        <w:keepNext w:val="true"/>
        <w:keepLines/>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0"/>
                    <a:stretch>
                      <a:fillRect/>
                    </a:stretch>
                  </pic:blipFill>
                  <pic:spPr bwMode="auto">
                    <a:xfrm>
                      <a:off x="0" y="0"/>
                      <a:ext cx="2205355" cy="5400040"/>
                    </a:xfrm>
                    <a:prstGeom prst="rect">
                      <a:avLst/>
                    </a:prstGeom>
                    <a:noFill/>
                  </pic:spPr>
                </pic:pic>
              </a:graphicData>
            </a:graphic>
          </wp:inline>
        </w:drawing>
      </w:r>
    </w:p>
    <w:p>
      <w:pPr>
        <w:pStyle w:val="Normal"/>
        <w:spacing w:lineRule="auto" w:line="240" w:before="0" w:after="0"/>
        <w:ind w:hanging="0"/>
        <w:jc w:val="center"/>
        <w:rPr/>
        <w:sectPr>
          <w:footerReference w:type="even" r:id="rId71"/>
          <w:footerReference w:type="default" r:id="rId72"/>
          <w:footerReference w:type="first" r:id="rId7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7" w:name="bm_anexoC"/>
      <w:bookmarkEnd w:id="47"/>
      <w:r>
        <w:rPr>
          <w:b/>
          <w:sz w:val="20"/>
        </w:rPr>
        <w:t>ANEXO C</w:t>
      </w:r>
    </w:p>
    <w:p>
      <w:pPr>
        <w:pStyle w:val="Normal"/>
        <w:keepNext w:val="true"/>
        <w:keepLines/>
        <w:spacing w:before="240" w:after="480"/>
        <w:jc w:val="center"/>
        <w:rPr/>
      </w:pPr>
      <w:r>
        <w:rPr>
          <w:b/>
          <w:sz w:val="20"/>
        </w:rPr>
        <w:t>[Swimlane del proceso propuesto de procura]</w:t>
      </w:r>
    </w:p>
    <w:p>
      <w:pPr>
        <w:pStyle w:val="Normal"/>
        <w:keepNext w:val="true"/>
        <w:keepLines/>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4"/>
                    <a:stretch>
                      <a:fillRect/>
                    </a:stretch>
                  </pic:blipFill>
                  <pic:spPr bwMode="auto">
                    <a:xfrm>
                      <a:off x="0" y="0"/>
                      <a:ext cx="5039995" cy="4544060"/>
                    </a:xfrm>
                    <a:prstGeom prst="rect">
                      <a:avLst/>
                    </a:prstGeom>
                    <a:noFill/>
                  </pic:spPr>
                </pic:pic>
              </a:graphicData>
            </a:graphic>
          </wp:inline>
        </w:drawing>
      </w:r>
    </w:p>
    <w:p>
      <w:pPr>
        <w:pStyle w:val="Normal"/>
        <w:spacing w:lineRule="auto" w:line="240" w:before="0" w:after="0"/>
        <w:ind w:hanging="0"/>
        <w:jc w:val="center"/>
        <w:rPr/>
        <w:sectPr>
          <w:footerReference w:type="even" r:id="rId75"/>
          <w:footerReference w:type="default" r:id="rId76"/>
          <w:footerReference w:type="first" r:id="rId77"/>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8" w:name="bm_anexoD"/>
      <w:bookmarkEnd w:id="48"/>
      <w:r>
        <w:rPr>
          <w:b/>
          <w:sz w:val="20"/>
        </w:rPr>
        <w:t>ANEXO D</w:t>
      </w:r>
    </w:p>
    <w:p>
      <w:pPr>
        <w:pStyle w:val="Normal"/>
        <w:keepNext w:val="true"/>
        <w:keepLines/>
        <w:spacing w:before="240" w:after="480"/>
        <w:jc w:val="center"/>
        <w:rPr/>
      </w:pPr>
      <w:r>
        <w:rPr>
          <w:b/>
          <w:sz w:val="20"/>
        </w:rPr>
        <w:t>[SIPOC del proceso de procura]</w:t>
      </w:r>
    </w:p>
    <w:p>
      <w:pPr>
        <w:pStyle w:val="Normal"/>
        <w:keepNext w:val="true"/>
        <w:keepLines/>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8"/>
                    <a:stretch>
                      <a:fillRect/>
                    </a:stretch>
                  </pic:blipFill>
                  <pic:spPr bwMode="auto">
                    <a:xfrm>
                      <a:off x="0" y="0"/>
                      <a:ext cx="4398010" cy="5039995"/>
                    </a:xfrm>
                    <a:prstGeom prst="rect">
                      <a:avLst/>
                    </a:prstGeom>
                    <a:noFill/>
                  </pic:spPr>
                </pic:pic>
              </a:graphicData>
            </a:graphic>
          </wp:inline>
        </w:drawing>
      </w:r>
    </w:p>
    <w:p>
      <w:pPr>
        <w:pStyle w:val="Normal"/>
        <w:spacing w:lineRule="auto" w:line="240" w:before="0" w:after="0"/>
        <w:ind w:hanging="0"/>
        <w:jc w:val="center"/>
        <w:rPr/>
        <w:sectPr>
          <w:footerReference w:type="even" r:id="rId79"/>
          <w:footerReference w:type="default" r:id="rId80"/>
          <w:footerReference w:type="first" r:id="rId81"/>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9" w:name="bm_anexoE"/>
      <w:bookmarkEnd w:id="49"/>
      <w:r>
        <w:rPr>
          <w:b/>
          <w:sz w:val="20"/>
        </w:rPr>
        <w:t>ANEXO E</w:t>
      </w:r>
    </w:p>
    <w:p>
      <w:pPr>
        <w:pStyle w:val="Normal"/>
        <w:keepNext w:val="true"/>
        <w:keepLines/>
        <w:spacing w:before="240" w:after="480"/>
        <w:jc w:val="center"/>
        <w:rPr/>
      </w:pPr>
      <w:r>
        <w:rPr>
          <w:b/>
          <w:sz w:val="20"/>
        </w:rPr>
        <w:t>[Matriz RACI propuesta del proceso de procura]</w:t>
      </w:r>
    </w:p>
    <w:p>
      <w:pPr>
        <w:pStyle w:val="Normal"/>
        <w:keepNext w:val="true"/>
        <w:keepLines/>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2"/>
                    <a:stretch>
                      <a:fillRect/>
                    </a:stretch>
                  </pic:blipFill>
                  <pic:spPr bwMode="auto">
                    <a:xfrm>
                      <a:off x="0" y="0"/>
                      <a:ext cx="5039995" cy="1350010"/>
                    </a:xfrm>
                    <a:prstGeom prst="rect">
                      <a:avLst/>
                    </a:prstGeom>
                    <a:noFill/>
                  </pic:spPr>
                </pic:pic>
              </a:graphicData>
            </a:graphic>
          </wp:inline>
        </w:drawing>
      </w:r>
    </w:p>
    <w:p>
      <w:pPr>
        <w:pStyle w:val="Normal"/>
        <w:spacing w:lineRule="auto" w:line="240" w:before="0" w:after="240"/>
        <w:ind w:hanging="0"/>
        <w:jc w:val="center"/>
        <w:rPr/>
      </w:pPr>
      <w:r>
        <w:rPr>
          <w:i/>
          <w:sz w:val="20"/>
        </w:rPr>
        <w:t xml:space="preserve">Fuente: </w:t>
      </w:r>
      <w:r>
        <w:rPr>
          <w:sz w:val="20"/>
        </w:rPr>
        <w:t>Guzmán K. (2026).</w:t>
      </w:r>
    </w:p>
    <w:sectPr>
      <w:footerReference w:type="even" r:id="rId83"/>
      <w:footerReference w:type="default" r:id="rId84"/>
      <w:footerReference w:type="first" r:id="rId85"/>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35</w:t>
    </w:r>
    <w:r>
      <w:rPr>
        <w:sz w:val="20"/>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35</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image" Target="media/image7.png"/><Relationship Id="rId48" Type="http://schemas.openxmlformats.org/officeDocument/2006/relationships/footer" Target="footer40.xml"/><Relationship Id="rId49" Type="http://schemas.openxmlformats.org/officeDocument/2006/relationships/footer" Target="footer41.xml"/><Relationship Id="rId50" Type="http://schemas.openxmlformats.org/officeDocument/2006/relationships/footer" Target="footer42.xml"/><Relationship Id="rId51" Type="http://schemas.openxmlformats.org/officeDocument/2006/relationships/footer" Target="footer43.xml"/><Relationship Id="rId52" Type="http://schemas.openxmlformats.org/officeDocument/2006/relationships/footer" Target="footer44.xml"/><Relationship Id="rId53" Type="http://schemas.openxmlformats.org/officeDocument/2006/relationships/footer" Target="footer45.xml"/><Relationship Id="rId54" Type="http://schemas.openxmlformats.org/officeDocument/2006/relationships/footer" Target="footer46.xml"/><Relationship Id="rId55" Type="http://schemas.openxmlformats.org/officeDocument/2006/relationships/footer" Target="footer47.xml"/><Relationship Id="rId56" Type="http://schemas.openxmlformats.org/officeDocument/2006/relationships/footer" Target="footer48.xml"/><Relationship Id="rId57" Type="http://schemas.openxmlformats.org/officeDocument/2006/relationships/footer" Target="footer49.xml"/><Relationship Id="rId58" Type="http://schemas.openxmlformats.org/officeDocument/2006/relationships/footer" Target="footer50.xml"/><Relationship Id="rId59" Type="http://schemas.openxmlformats.org/officeDocument/2006/relationships/footer" Target="footer51.xml"/><Relationship Id="rId60" Type="http://schemas.openxmlformats.org/officeDocument/2006/relationships/footer" Target="footer52.xml"/><Relationship Id="rId61" Type="http://schemas.openxmlformats.org/officeDocument/2006/relationships/footer" Target="footer53.xml"/><Relationship Id="rId62" Type="http://schemas.openxmlformats.org/officeDocument/2006/relationships/footer" Target="footer54.xml"/><Relationship Id="rId63" Type="http://schemas.openxmlformats.org/officeDocument/2006/relationships/footer" Target="footer55.xml"/><Relationship Id="rId64" Type="http://schemas.openxmlformats.org/officeDocument/2006/relationships/footer" Target="footer56.xml"/><Relationship Id="rId65" Type="http://schemas.openxmlformats.org/officeDocument/2006/relationships/footer" Target="footer57.xml"/><Relationship Id="rId66" Type="http://schemas.openxmlformats.org/officeDocument/2006/relationships/image" Target="media/image8.png"/><Relationship Id="rId67" Type="http://schemas.openxmlformats.org/officeDocument/2006/relationships/footer" Target="footer58.xml"/><Relationship Id="rId68" Type="http://schemas.openxmlformats.org/officeDocument/2006/relationships/footer" Target="footer59.xml"/><Relationship Id="rId69" Type="http://schemas.openxmlformats.org/officeDocument/2006/relationships/footer" Target="footer60.xml"/><Relationship Id="rId70" Type="http://schemas.openxmlformats.org/officeDocument/2006/relationships/image" Target="media/image9.png"/><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10.pn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1.pn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2.png"/><Relationship Id="rId83" Type="http://schemas.openxmlformats.org/officeDocument/2006/relationships/footer" Target="footer70.xml"/><Relationship Id="rId84" Type="http://schemas.openxmlformats.org/officeDocument/2006/relationships/footer" Target="footer71.xml"/><Relationship Id="rId85" Type="http://schemas.openxmlformats.org/officeDocument/2006/relationships/footer" Target="footer72.xml"/><Relationship Id="rId86" Type="http://schemas.openxmlformats.org/officeDocument/2006/relationships/numbering" Target="numbering.xml"/><Relationship Id="rId87" Type="http://schemas.openxmlformats.org/officeDocument/2006/relationships/fontTable" Target="fontTable.xml"/><Relationship Id="rId88" Type="http://schemas.openxmlformats.org/officeDocument/2006/relationships/settings" Target="settings.xml"/><Relationship Id="rId89" Type="http://schemas.openxmlformats.org/officeDocument/2006/relationships/theme" Target="theme/theme1.xml"/><Relationship Id="rId9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47</Pages>
  <Words>6295</Words>
  <Characters>38420</Characters>
  <CharactersWithSpaces>44259</CharactersWithSpaces>
  <Paragraphs>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2026-09-02T00:20:44Z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