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06 al 10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Tramitar solicitudes de compra de la semana y analizar las causas organizativas de los retrasos identificados.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Tramitación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Procesar las solicitudes de compra recibidas durante la semana y gestionar su trámite correspondiente.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cuadros comparativos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preparación de cuadros comparativos de cotizaciones de proveedores activos.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hojas de comparación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la base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nuevos datos de contacto y condiciones de proveedores al registro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 de oficina, base de datos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del diagrama causa-efecto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Construir el diagrama de Ishikawa con las causas organizativas de los retrasos identificadas en semanas anteriores.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Papel, lápiz,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Jerarquización de factores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Clasificar jerárquicamente las causas de demora según su impacto en el ciclo de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notas, software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Solicitudes tramitadas del período y diagrama causa-efecto con clasificación jerárquica de factores de demora.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