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Keidy Guzmán</w:t>
        <w:br/>
      </w:r>
      <w:r>
        <w:rPr>
          <w:rFonts w:ascii="Times New Roman" w:hAnsi="Times New Roman"/>
          <w:b/>
          <w:sz w:val="24"/>
        </w:rPr>
        <w:t>C.I.: 28.706.352</w:t>
      </w:r>
    </w:p>
    <w:p>
      <w:pPr>
        <w:spacing w:line="276" w:lineRule="auto" w:before="1630"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176" w:after="0"/>
        <w:jc w:val="center"/>
      </w:pPr>
      <w:r>
        <w:rPr>
          <w:rFonts w:ascii="Times New Roman" w:hAnsi="Times New Roman"/>
          <w:b/>
          <w:sz w:val="24"/>
        </w:rPr>
        <w:t>PROPUESTA DE SIMPLIFICACIÓN ADMINISTRATIVA DE LA PROCURA EN LUBRICANTES Y EQUIPOS VARYNA, C.A.</w:t>
      </w:r>
    </w:p>
    <w:p>
      <w:pPr>
        <w:spacing w:before="2647"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Martina Rondón</w:t>
              <w:br/>
            </w:r>
            <w:r>
              <w:rPr>
                <w:rFonts w:ascii="Times New Roman" w:hAnsi="Times New Roman"/>
                <w:b/>
                <w:sz w:val="24"/>
              </w:rPr>
              <w:t>C.I.: 12.208.768</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Dra. Carmen J. Álvarez</w:t>
              <w:br/>
            </w:r>
            <w:r>
              <w:rPr>
                <w:rFonts w:ascii="Times New Roman" w:hAnsi="Times New Roman"/>
                <w:b/>
                <w:sz w:val="24"/>
              </w:rPr>
              <w:t>C.I.: 14.452.956</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Keidy Guzmán</w:t>
              <w:br/>
            </w:r>
            <w:r>
              <w:rPr>
                <w:rFonts w:ascii="Times New Roman" w:hAnsi="Times New Roman"/>
                <w:b/>
                <w:sz w:val="24"/>
              </w:rPr>
              <w:t>C.I.: 28.706.352</w:t>
            </w:r>
          </w:p>
        </w:tc>
      </w:tr>
    </w:tbl>
    <w:p>
      <w:pPr>
        <w:spacing w:line="276" w:lineRule="auto" w:before="1323"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4"/>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V CONCLUSIONES Y RECOMENDACIONES</w:t>
        <w:tab/>
      </w:r>
      <w:r>
        <w:rPr>
          <w:rFonts w:ascii="Times New Roman" w:hAnsi="Times New Roman"/>
          <w:b/>
          <w:sz w:val="24"/>
        </w:rPr>
        <w:fldChar w:fldCharType="begin"/>
        <w:instrText xml:space="preserve"> PAGEREF bm_cap5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fldChar w:fldCharType="begin"/>
        <w:instrText xml:space="preserve"> PAGEREF bm_cap5_concl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fldChar w:fldCharType="begin"/>
        <w:instrText xml:space="preserve"> PAGEREF bm_cap5_recom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5"/>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16"/>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17"/>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18"/>
          <w:pgSz w:w="12240" w:h="15840"/>
          <w:pgMar w:top="1701" w:right="1701" w:bottom="1701" w:left="2268" w:header="720" w:footer="720" w:gutter="0"/>
          <w:cols w:space="720"/>
          <w:titlePg/>
          <w:docGrid w:linePitch="360"/>
        </w:sectPr>
      </w:pPr>
    </w:p>
    <w:p>
      <w:pPr>
        <w:sectPr>
          <w:footerReference w:type="default" r:id="rId19"/>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0"/>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la empresa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la organización</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2"/>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sectPr>
          <w:footerReference w:type="default" r:id="rId23"/>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4"/>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propuesta de simplificación administrativa del proceso de procura en el departamento administrativo de Lubricantes y Equipos Varyna, C.A. La investigación se enmarca en la modalidad de proyecto factible apoyado en un diagnóstico de campo. Durante el estudio se identificó la ausencia de canales formalizados de recepción de requisiciones, tiempos de respuesta prolongados en las fases de cotización y aprobación, y la inexistencia de formatos estandarizados de control. La propuesta contempla un nuevo flujo de trabajo procedimental simplificado, plantillas estandarizadas de solicitud y orden de compra, y una matriz de autorización por monto, orientadas a fortalecer el control interno y agilizar el ciclo de adquisición de insumos y materiales.</w:t>
      </w:r>
    </w:p>
    <w:p/>
    <w:p>
      <w:pPr>
        <w:ind w:firstLine="709"/>
      </w:pPr>
      <w:r>
        <w:rPr>
          <w:b/>
        </w:rPr>
        <w:t xml:space="preserve">Palabras claves: </w:t>
      </w:r>
      <w:r>
        <w:t>procura, simplificación administrativa, proceso administrativo, proyecto factible, pasantías.</w:t>
      </w:r>
    </w:p>
    <w:p>
      <w:pPr>
        <w:sectPr>
          <w:footerReference w:type="default" r:id="rId25"/>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26"/>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proponer la simplificación administrativa del proceso de procura en el departamento administrativo de Lubricantes y Equipos Varyna, C.A. La investigación parte del diagnóstico de las deficiencias actuales en el ciclo de adquisición de insumos y materiales, identificando los factores que generan retrasos operativos y complejidades innecesarias en el control interno del departamento. El informe se estructura en cinco capítulos: el Capítulo I presenta la realidad organizacional de la empresa;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27"/>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28"/>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Varyná,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Varyná,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315385"/>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la empresa.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shd w:fill="D9E2F3"/>
          </w:tcPr>
          <w:p>
            <w:pPr>
              <w:jc w:val="center"/>
            </w:pPr>
            <w:r/>
            <w:r>
              <w:rPr>
                <w:rFonts w:ascii="Times New Roman" w:hAnsi="Times New Roman"/>
                <w:b/>
                <w:sz w:val="16"/>
              </w:rPr>
              <w:t>Departamento / Área</w:t>
            </w:r>
          </w:p>
        </w:tc>
        <w:tc>
          <w:tcPr>
            <w:tcW w:type="dxa" w:w="1654"/>
            <w:shd w:fill="D9E2F3"/>
          </w:tcPr>
          <w:p>
            <w:pPr>
              <w:jc w:val="center"/>
            </w:pPr>
            <w:r/>
            <w:r>
              <w:rPr>
                <w:rFonts w:ascii="Times New Roman" w:hAnsi="Times New Roman"/>
                <w:b/>
                <w:sz w:val="16"/>
              </w:rPr>
              <w:t>Cargo</w:t>
            </w:r>
          </w:p>
        </w:tc>
        <w:tc>
          <w:tcPr>
            <w:tcW w:type="dxa" w:w="1654"/>
            <w:shd w:fill="D9E2F3"/>
          </w:tcPr>
          <w:p>
            <w:pPr>
              <w:jc w:val="center"/>
            </w:pPr>
            <w:r/>
            <w:r>
              <w:rPr>
                <w:rFonts w:ascii="Times New Roman" w:hAnsi="Times New Roman"/>
                <w:b/>
                <w:sz w:val="16"/>
              </w:rPr>
              <w:t>Femenino</w:t>
            </w:r>
          </w:p>
        </w:tc>
        <w:tc>
          <w:tcPr>
            <w:tcW w:type="dxa" w:w="1654"/>
            <w:shd w:fill="D9E2F3"/>
          </w:tcPr>
          <w:p>
            <w:pPr>
              <w:jc w:val="center"/>
            </w:pPr>
            <w:r/>
            <w:r>
              <w:rPr>
                <w:rFonts w:ascii="Times New Roman" w:hAnsi="Times New Roman"/>
                <w:b/>
                <w:sz w:val="16"/>
              </w:rPr>
              <w:t>Masculino</w:t>
            </w:r>
          </w:p>
        </w:tc>
        <w:tc>
          <w:tcPr>
            <w:tcW w:type="dxa" w:w="1654"/>
            <w:shd w:fill="D9E2F3"/>
          </w:tcPr>
          <w:p>
            <w:pPr>
              <w:jc w:val="center"/>
            </w:pPr>
            <w:r/>
            <w:r>
              <w:rPr>
                <w:rFonts w:ascii="Times New Roman" w:hAnsi="Times New Roman"/>
                <w:b/>
                <w:sz w:val="16"/>
              </w:rPr>
              <w:t>Total</w:t>
            </w:r>
          </w:p>
        </w:tc>
      </w:tr>
      <w:tr>
        <w:tc>
          <w:tcPr>
            <w:tcW w:type="dxa" w:w="1654"/>
          </w:tcPr>
          <w:p>
            <w:pPr>
              <w:jc w:val="left"/>
            </w:pPr>
            <w:r/>
            <w:r>
              <w:rPr>
                <w:rFonts w:ascii="Times New Roman" w:hAnsi="Times New Roman"/>
                <w:sz w:val="16"/>
              </w:rPr>
              <w:t>Alta Dirección</w:t>
            </w:r>
          </w:p>
        </w:tc>
        <w:tc>
          <w:tcPr>
            <w:tcW w:type="dxa" w:w="1654"/>
          </w:tcPr>
          <w:p>
            <w:pPr>
              <w:jc w:val="left"/>
            </w:pPr>
            <w:r/>
            <w:r>
              <w:rPr>
                <w:rFonts w:ascii="Times New Roman" w:hAnsi="Times New Roman"/>
                <w:sz w:val="16"/>
              </w:rPr>
              <w:t>Gerente General</w:t>
            </w:r>
          </w:p>
        </w:tc>
        <w:tc>
          <w:tcPr>
            <w:tcW w:type="dxa" w:w="1654"/>
          </w:tcPr>
          <w:p>
            <w:pPr>
              <w:jc w:val="center"/>
            </w:pPr>
            <w:r/>
            <w:r>
              <w:rPr>
                <w:rFonts w:ascii="Times New Roman" w:hAnsi="Times New Roman"/>
                <w:sz w:val="16"/>
              </w:rPr>
              <w:t>0</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w:t>
            </w:r>
          </w:p>
        </w:tc>
      </w:tr>
      <w:tr>
        <w:tc>
          <w:tcPr>
            <w:tcW w:type="dxa" w:w="1654"/>
          </w:tcPr>
          <w:p>
            <w:pPr>
              <w:jc w:val="left"/>
            </w:pPr>
            <w:r/>
            <w:r>
              <w:rPr>
                <w:rFonts w:ascii="Times New Roman" w:hAnsi="Times New Roman"/>
                <w:sz w:val="16"/>
              </w:rPr>
              <w:t>Dirección Operativa</w:t>
            </w:r>
          </w:p>
        </w:tc>
        <w:tc>
          <w:tcPr>
            <w:tcW w:type="dxa" w:w="1654"/>
          </w:tcPr>
          <w:p>
            <w:pPr>
              <w:jc w:val="left"/>
            </w:pPr>
            <w:r/>
            <w:r>
              <w:rPr>
                <w:rFonts w:ascii="Times New Roman" w:hAnsi="Times New Roman"/>
                <w:sz w:val="16"/>
              </w:rPr>
              <w:t>Gerente de Operaciones</w:t>
            </w:r>
          </w:p>
        </w:tc>
        <w:tc>
          <w:tcPr>
            <w:tcW w:type="dxa" w:w="1654"/>
          </w:tcPr>
          <w:p>
            <w:pPr>
              <w:jc w:val="center"/>
            </w:pPr>
            <w:r/>
            <w:r>
              <w:rPr>
                <w:rFonts w:ascii="Times New Roman" w:hAnsi="Times New Roman"/>
                <w:sz w:val="16"/>
              </w:rPr>
              <w:t>0</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w:t>
            </w:r>
          </w:p>
        </w:tc>
      </w:tr>
      <w:tr>
        <w:tc>
          <w:tcPr>
            <w:tcW w:type="dxa" w:w="1654"/>
          </w:tcPr>
          <w:p>
            <w:pPr>
              <w:jc w:val="left"/>
            </w:pPr>
            <w:r/>
            <w:r>
              <w:rPr>
                <w:rFonts w:ascii="Times New Roman" w:hAnsi="Times New Roman"/>
                <w:sz w:val="16"/>
              </w:rPr>
              <w:t>Control y Avance</w:t>
            </w:r>
          </w:p>
        </w:tc>
        <w:tc>
          <w:tcPr>
            <w:tcW w:type="dxa" w:w="1654"/>
          </w:tcPr>
          <w:p>
            <w:pPr>
              <w:jc w:val="left"/>
            </w:pPr>
            <w:r/>
            <w:r>
              <w:rPr>
                <w:rFonts w:ascii="Times New Roman" w:hAnsi="Times New Roman"/>
                <w:sz w:val="16"/>
              </w:rPr>
              <w:t>Gerente / Operaciones Morichal</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2</w:t>
            </w:r>
          </w:p>
        </w:tc>
      </w:tr>
      <w:tr>
        <w:tc>
          <w:tcPr>
            <w:tcW w:type="dxa" w:w="1654"/>
          </w:tcPr>
          <w:p>
            <w:pPr>
              <w:jc w:val="left"/>
            </w:pPr>
            <w:r/>
            <w:r>
              <w:rPr>
                <w:rFonts w:ascii="Times New Roman" w:hAnsi="Times New Roman"/>
                <w:sz w:val="16"/>
              </w:rPr>
              <w:t>Administración (Área de Pasantía)</w:t>
            </w:r>
          </w:p>
        </w:tc>
        <w:tc>
          <w:tcPr>
            <w:tcW w:type="dxa" w:w="1654"/>
          </w:tcPr>
          <w:p>
            <w:pPr>
              <w:jc w:val="left"/>
            </w:pPr>
            <w:r/>
            <w:r>
              <w:rPr>
                <w:rFonts w:ascii="Times New Roman" w:hAnsi="Times New Roman"/>
                <w:sz w:val="16"/>
              </w:rPr>
              <w:t>Administración / Asistentes Administrativos</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3</w:t>
            </w:r>
          </w:p>
        </w:tc>
      </w:tr>
      <w:tr>
        <w:tc>
          <w:tcPr>
            <w:tcW w:type="dxa" w:w="1654"/>
          </w:tcPr>
          <w:p>
            <w:pPr>
              <w:jc w:val="left"/>
            </w:pPr>
            <w:r/>
            <w:r>
              <w:rPr>
                <w:rFonts w:ascii="Times New Roman" w:hAnsi="Times New Roman"/>
                <w:sz w:val="16"/>
              </w:rPr>
            </w:r>
          </w:p>
        </w:tc>
        <w:tc>
          <w:tcPr>
            <w:tcW w:type="dxa" w:w="1654"/>
          </w:tcPr>
          <w:p>
            <w:pPr>
              <w:jc w:val="left"/>
            </w:pPr>
            <w:r/>
            <w:r>
              <w:rPr>
                <w:rFonts w:ascii="Times New Roman" w:hAnsi="Times New Roman"/>
                <w:sz w:val="16"/>
              </w:rPr>
              <w:t>Control de Avance, Logística y Compras (Procura)</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2</w:t>
            </w:r>
          </w:p>
        </w:tc>
      </w:tr>
      <w:tr>
        <w:tc>
          <w:tcPr>
            <w:tcW w:type="dxa" w:w="1654"/>
          </w:tcPr>
          <w:p>
            <w:pPr>
              <w:jc w:val="left"/>
            </w:pPr>
            <w:r/>
            <w:r>
              <w:rPr>
                <w:rFonts w:ascii="Times New Roman" w:hAnsi="Times New Roman"/>
                <w:sz w:val="16"/>
              </w:rPr>
            </w:r>
          </w:p>
        </w:tc>
        <w:tc>
          <w:tcPr>
            <w:tcW w:type="dxa" w:w="1654"/>
          </w:tcPr>
          <w:p>
            <w:pPr>
              <w:jc w:val="left"/>
            </w:pPr>
            <w:r/>
            <w:r>
              <w:rPr>
                <w:rFonts w:ascii="Times New Roman" w:hAnsi="Times New Roman"/>
                <w:sz w:val="16"/>
              </w:rPr>
              <w:t>Operarios, Sup. Patio, Mantenimiento y Logística</w:t>
            </w:r>
          </w:p>
        </w:tc>
        <w:tc>
          <w:tcPr>
            <w:tcW w:type="dxa" w:w="1654"/>
          </w:tcPr>
          <w:p>
            <w:pPr>
              <w:jc w:val="center"/>
            </w:pPr>
            <w:r/>
            <w:r>
              <w:rPr>
                <w:rFonts w:ascii="Times New Roman" w:hAnsi="Times New Roman"/>
                <w:sz w:val="16"/>
              </w:rPr>
              <w:t>0</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2</w:t>
            </w:r>
          </w:p>
        </w:tc>
      </w:tr>
      <w:tr>
        <w:tc>
          <w:tcPr>
            <w:tcW w:type="dxa" w:w="1654"/>
          </w:tcPr>
          <w:p>
            <w:pPr>
              <w:jc w:val="left"/>
            </w:pPr>
            <w:r/>
            <w:r>
              <w:rPr>
                <w:rFonts w:ascii="Times New Roman" w:hAnsi="Times New Roman"/>
                <w:sz w:val="16"/>
              </w:rPr>
              <w:t>Contratación y Adm. Contratos</w:t>
            </w:r>
          </w:p>
        </w:tc>
        <w:tc>
          <w:tcPr>
            <w:tcW w:type="dxa" w:w="1654"/>
          </w:tcPr>
          <w:p>
            <w:pPr>
              <w:jc w:val="left"/>
            </w:pPr>
            <w:r/>
            <w:r>
              <w:rPr>
                <w:rFonts w:ascii="Times New Roman" w:hAnsi="Times New Roman"/>
                <w:sz w:val="16"/>
              </w:rPr>
              <w:t>Gerente / Estimadores, Administradores, Planificadores</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3</w:t>
            </w:r>
          </w:p>
        </w:tc>
      </w:tr>
      <w:tr>
        <w:tc>
          <w:tcPr>
            <w:tcW w:type="dxa" w:w="1654"/>
          </w:tcPr>
          <w:p>
            <w:pPr>
              <w:jc w:val="left"/>
            </w:pPr>
            <w:r/>
            <w:r>
              <w:rPr>
                <w:rFonts w:ascii="Times New Roman" w:hAnsi="Times New Roman"/>
                <w:sz w:val="16"/>
              </w:rPr>
              <w:t>Recursos Humanos</w:t>
            </w:r>
          </w:p>
        </w:tc>
        <w:tc>
          <w:tcPr>
            <w:tcW w:type="dxa" w:w="1654"/>
          </w:tcPr>
          <w:p>
            <w:pPr>
              <w:jc w:val="left"/>
            </w:pPr>
            <w:r/>
            <w:r>
              <w:rPr>
                <w:rFonts w:ascii="Times New Roman" w:hAnsi="Times New Roman"/>
                <w:sz w:val="16"/>
              </w:rPr>
              <w:t>Gerente de RRHH-Laborales / Asistentes</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3</w:t>
            </w:r>
          </w:p>
        </w:tc>
      </w:tr>
      <w:tr>
        <w:tc>
          <w:tcPr>
            <w:tcW w:type="dxa" w:w="1654"/>
          </w:tcPr>
          <w:p>
            <w:pPr>
              <w:jc w:val="left"/>
            </w:pPr>
            <w:r/>
            <w:r>
              <w:rPr>
                <w:rFonts w:ascii="Times New Roman" w:hAnsi="Times New Roman"/>
                <w:sz w:val="16"/>
              </w:rPr>
              <w:t>Proyectos y Producción</w:t>
            </w:r>
          </w:p>
        </w:tc>
        <w:tc>
          <w:tcPr>
            <w:tcW w:type="dxa" w:w="1654"/>
          </w:tcPr>
          <w:p>
            <w:pPr>
              <w:jc w:val="left"/>
            </w:pPr>
            <w:r/>
            <w:r>
              <w:rPr>
                <w:rFonts w:ascii="Times New Roman" w:hAnsi="Times New Roman"/>
                <w:sz w:val="16"/>
              </w:rPr>
              <w:t>Gerentes de Proyecto, Optimización y Servicios</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3</w:t>
            </w:r>
          </w:p>
        </w:tc>
      </w:tr>
      <w:tr>
        <w:tc>
          <w:tcPr>
            <w:tcW w:type="dxa" w:w="1654"/>
          </w:tcPr>
          <w:p>
            <w:pPr>
              <w:jc w:val="left"/>
            </w:pPr>
            <w:r/>
            <w:r>
              <w:rPr>
                <w:rFonts w:ascii="Times New Roman" w:hAnsi="Times New Roman"/>
                <w:sz w:val="16"/>
              </w:rPr>
            </w:r>
          </w:p>
        </w:tc>
        <w:tc>
          <w:tcPr>
            <w:tcW w:type="dxa" w:w="1654"/>
          </w:tcPr>
          <w:p>
            <w:pPr>
              <w:jc w:val="left"/>
            </w:pPr>
            <w:r/>
            <w:r>
              <w:rPr>
                <w:rFonts w:ascii="Times New Roman" w:hAnsi="Times New Roman"/>
                <w:sz w:val="16"/>
              </w:rPr>
              <w:t>Gerente Metalmecánico</w:t>
            </w:r>
          </w:p>
        </w:tc>
        <w:tc>
          <w:tcPr>
            <w:tcW w:type="dxa" w:w="1654"/>
          </w:tcPr>
          <w:p>
            <w:pPr>
              <w:jc w:val="center"/>
            </w:pPr>
            <w:r/>
            <w:r>
              <w:rPr>
                <w:rFonts w:ascii="Times New Roman" w:hAnsi="Times New Roman"/>
                <w:sz w:val="16"/>
              </w:rPr>
              <w:t>0</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w:t>
            </w:r>
          </w:p>
        </w:tc>
      </w:tr>
      <w:tr>
        <w:tc>
          <w:tcPr>
            <w:tcW w:type="dxa" w:w="1654"/>
          </w:tcPr>
          <w:p>
            <w:pPr>
              <w:jc w:val="left"/>
            </w:pPr>
            <w:r/>
            <w:r>
              <w:rPr>
                <w:rFonts w:ascii="Times New Roman" w:hAnsi="Times New Roman"/>
                <w:sz w:val="16"/>
              </w:rPr>
              <w:t>Ingeniería y Campo</w:t>
            </w:r>
          </w:p>
        </w:tc>
        <w:tc>
          <w:tcPr>
            <w:tcW w:type="dxa" w:w="1654"/>
          </w:tcPr>
          <w:p>
            <w:pPr>
              <w:jc w:val="left"/>
            </w:pPr>
            <w:r/>
            <w:r>
              <w:rPr>
                <w:rFonts w:ascii="Times New Roman" w:hAnsi="Times New Roman"/>
                <w:sz w:val="16"/>
              </w:rPr>
              <w:t>Ingenieros Residentes / Coordinadores (SIHO-A, Calidad)</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3</w:t>
            </w:r>
          </w:p>
        </w:tc>
        <w:tc>
          <w:tcPr>
            <w:tcW w:type="dxa" w:w="1654"/>
          </w:tcPr>
          <w:p>
            <w:pPr>
              <w:jc w:val="center"/>
            </w:pPr>
            <w:r/>
            <w:r>
              <w:rPr>
                <w:rFonts w:ascii="Times New Roman" w:hAnsi="Times New Roman"/>
                <w:sz w:val="16"/>
              </w:rPr>
              <w:t>5</w:t>
            </w:r>
          </w:p>
        </w:tc>
      </w:tr>
      <w:tr>
        <w:tc>
          <w:tcPr>
            <w:tcW w:type="dxa" w:w="1654"/>
          </w:tcPr>
          <w:p>
            <w:pPr>
              <w:jc w:val="left"/>
            </w:pPr>
            <w:r/>
            <w:r>
              <w:rPr>
                <w:rFonts w:ascii="Times New Roman" w:hAnsi="Times New Roman"/>
                <w:sz w:val="16"/>
              </w:rPr>
            </w:r>
          </w:p>
        </w:tc>
        <w:tc>
          <w:tcPr>
            <w:tcW w:type="dxa" w:w="1654"/>
          </w:tcPr>
          <w:p>
            <w:pPr>
              <w:jc w:val="left"/>
            </w:pPr>
            <w:r/>
            <w:r>
              <w:rPr>
                <w:rFonts w:ascii="Times New Roman" w:hAnsi="Times New Roman"/>
                <w:sz w:val="16"/>
              </w:rPr>
              <w:t>Inspectores (SIHO, Ambiente, Paramédicos, Calidad)</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2</w:t>
            </w:r>
          </w:p>
        </w:tc>
        <w:tc>
          <w:tcPr>
            <w:tcW w:type="dxa" w:w="1654"/>
          </w:tcPr>
          <w:p>
            <w:pPr>
              <w:jc w:val="center"/>
            </w:pPr>
            <w:r/>
            <w:r>
              <w:rPr>
                <w:rFonts w:ascii="Times New Roman" w:hAnsi="Times New Roman"/>
                <w:sz w:val="16"/>
              </w:rPr>
              <w:t>4</w:t>
            </w:r>
          </w:p>
        </w:tc>
      </w:tr>
      <w:tr>
        <w:tc>
          <w:tcPr>
            <w:tcW w:type="dxa" w:w="1654"/>
          </w:tcPr>
          <w:p>
            <w:pPr>
              <w:jc w:val="left"/>
            </w:pPr>
            <w:r/>
            <w:r>
              <w:rPr>
                <w:rFonts w:ascii="Times New Roman" w:hAnsi="Times New Roman"/>
                <w:sz w:val="16"/>
              </w:rPr>
            </w:r>
          </w:p>
        </w:tc>
        <w:tc>
          <w:tcPr>
            <w:tcW w:type="dxa" w:w="1654"/>
          </w:tcPr>
          <w:p>
            <w:pPr>
              <w:jc w:val="left"/>
            </w:pPr>
            <w:r/>
            <w:r>
              <w:rPr>
                <w:rFonts w:ascii="Times New Roman" w:hAnsi="Times New Roman"/>
                <w:sz w:val="16"/>
              </w:rPr>
              <w:t>Supervisor de Obras, Operadores, Chóferes, Soldadores, Obreros</w:t>
            </w:r>
          </w:p>
        </w:tc>
        <w:tc>
          <w:tcPr>
            <w:tcW w:type="dxa" w:w="1654"/>
          </w:tcPr>
          <w:p>
            <w:pPr>
              <w:jc w:val="center"/>
            </w:pPr>
            <w:r/>
            <w:r>
              <w:rPr>
                <w:rFonts w:ascii="Times New Roman" w:hAnsi="Times New Roman"/>
                <w:sz w:val="16"/>
              </w:rPr>
              <w:t>1</w:t>
            </w:r>
          </w:p>
        </w:tc>
        <w:tc>
          <w:tcPr>
            <w:tcW w:type="dxa" w:w="1654"/>
          </w:tcPr>
          <w:p>
            <w:pPr>
              <w:jc w:val="center"/>
            </w:pPr>
            <w:r/>
            <w:r>
              <w:rPr>
                <w:rFonts w:ascii="Times New Roman" w:hAnsi="Times New Roman"/>
                <w:sz w:val="16"/>
              </w:rPr>
              <w:t>10</w:t>
            </w:r>
          </w:p>
        </w:tc>
        <w:tc>
          <w:tcPr>
            <w:tcW w:type="dxa" w:w="1654"/>
          </w:tcPr>
          <w:p>
            <w:pPr>
              <w:jc w:val="center"/>
            </w:pPr>
            <w:r/>
            <w:r>
              <w:rPr>
                <w:rFonts w:ascii="Times New Roman" w:hAnsi="Times New Roman"/>
                <w:sz w:val="16"/>
              </w:rPr>
              <w:t>11</w:t>
            </w:r>
          </w:p>
        </w:tc>
      </w:tr>
      <w:tr>
        <w:tc>
          <w:tcPr>
            <w:tcW w:type="dxa" w:w="1654"/>
          </w:tcPr>
          <w:p>
            <w:pPr>
              <w:jc w:val="left"/>
            </w:pPr>
            <w:r/>
            <w:r>
              <w:rPr>
                <w:rFonts w:ascii="Times New Roman" w:hAnsi="Times New Roman"/>
                <w:sz w:val="16"/>
              </w:rPr>
              <w:t>TOTAL GENERAL</w:t>
            </w:r>
          </w:p>
        </w:tc>
        <w:tc>
          <w:tcPr>
            <w:tcW w:type="dxa" w:w="1654"/>
          </w:tcPr>
          <w:p>
            <w:pPr>
              <w:jc w:val="left"/>
            </w:pPr>
            <w:r/>
            <w:r>
              <w:rPr>
                <w:rFonts w:ascii="Times New Roman" w:hAnsi="Times New Roman"/>
                <w:sz w:val="16"/>
              </w:rPr>
            </w:r>
          </w:p>
        </w:tc>
        <w:tc>
          <w:tcPr>
            <w:tcW w:type="dxa" w:w="1654"/>
          </w:tcPr>
          <w:p>
            <w:pPr>
              <w:jc w:val="center"/>
            </w:pPr>
            <w:r/>
            <w:r>
              <w:rPr>
                <w:rFonts w:ascii="Times New Roman" w:hAnsi="Times New Roman"/>
                <w:sz w:val="16"/>
              </w:rPr>
              <w:t>14</w:t>
            </w:r>
          </w:p>
        </w:tc>
        <w:tc>
          <w:tcPr>
            <w:tcW w:type="dxa" w:w="1654"/>
          </w:tcPr>
          <w:p>
            <w:pPr>
              <w:jc w:val="center"/>
            </w:pPr>
            <w:r/>
            <w:r>
              <w:rPr>
                <w:rFonts w:ascii="Times New Roman" w:hAnsi="Times New Roman"/>
                <w:sz w:val="16"/>
              </w:rPr>
              <w:t>28</w:t>
            </w:r>
          </w:p>
        </w:tc>
        <w:tc>
          <w:tcPr>
            <w:tcW w:type="dxa" w:w="1654"/>
          </w:tcPr>
          <w:p>
            <w:pPr>
              <w:jc w:val="center"/>
            </w:pPr>
            <w:r/>
            <w:r>
              <w:rPr>
                <w:rFonts w:ascii="Times New Roman" w:hAnsi="Times New Roman"/>
                <w:sz w:val="16"/>
              </w:rPr>
              <w:t>42</w:t>
            </w:r>
          </w:p>
        </w:tc>
      </w:tr>
    </w:tbl>
    <w:p>
      <w:pPr>
        <w:spacing w:before="120"/>
      </w:pPr>
      <w:r>
        <w:rPr>
          <w:rFonts w:ascii="Times New Roman" w:hAnsi="Times New Roman"/>
          <w:i/>
          <w:sz w:val="16"/>
        </w:rPr>
        <w:t>Fuente: Departamento Administrativo de Lubricantes y Equipos Varyna, C.A. (2026).</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 Los departamentos que conforman la organización son los siguientes:</w:t>
      </w:r>
    </w:p>
    <w:p>
      <w:pPr>
        <w:spacing w:line="360" w:lineRule="auto" w:after="0" w:before="0"/>
        <w:ind w:firstLine="709"/>
        <w:jc w:val="both"/>
      </w:pPr>
      <w:r>
        <w:rPr>
          <w:rFonts w:ascii="Times New Roman" w:hAnsi="Times New Roman"/>
          <w:i w:val="0"/>
          <w:sz w:val="24"/>
        </w:rPr>
        <w:t>Gerencia General: Es la máxima autoridad ejecutiva encargada de la dirección estratégica, la toma de decisiones corporativas y el cumplimiento de los objetivos globales de la organización.</w:t>
      </w:r>
    </w:p>
    <w:p>
      <w:pPr>
        <w:spacing w:line="360" w:lineRule="auto" w:after="0" w:before="0"/>
        <w:ind w:firstLine="709"/>
        <w:jc w:val="both"/>
      </w:pPr>
      <w:r>
        <w:rPr>
          <w:rFonts w:ascii="Times New Roman" w:hAnsi="Times New Roman"/>
          <w:i w:val="0"/>
          <w:sz w:val="24"/>
        </w:rPr>
        <w:t>Gerencia de Operaciones: Coordina y supervisa la ejecución técnica y operativa de los proyectos, garantizando la eficiencia en el uso de recursos e infraestructura en campo.</w:t>
      </w:r>
    </w:p>
    <w:p>
      <w:pPr>
        <w:spacing w:line="360" w:lineRule="auto" w:after="0" w:before="0"/>
        <w:ind w:firstLine="709"/>
        <w:jc w:val="both"/>
      </w:pPr>
      <w:r>
        <w:rPr>
          <w:rFonts w:ascii="Times New Roman" w:hAnsi="Times New Roman"/>
          <w:i w:val="0"/>
          <w:sz w:val="24"/>
        </w:rPr>
        <w:t>Gerencia de Control y Avance (y Operaciones Morichal): Responsable de monitorear el rendimiento, cumplimiento de metas de avance físico de obras y la logística operativa regional en el área de Morichal.</w:t>
      </w:r>
    </w:p>
    <w:p>
      <w:pPr>
        <w:spacing w:line="360" w:lineRule="auto" w:after="0" w:before="0"/>
        <w:ind w:firstLine="709"/>
        <w:jc w:val="both"/>
      </w:pPr>
      <w:r>
        <w:rPr>
          <w:rFonts w:ascii="Times New Roman" w:hAnsi="Times New Roman"/>
          <w:i w:val="0"/>
          <w:sz w:val="24"/>
        </w:rPr>
        <w:t>Departamento Administrativo (Área de Pasantía): Unidad encargada de la gestión financiera, presupuestaria, logística interna, control contable e inventarios. En este departamento se desenvuelve la pasante en el rol de Asistente Administrativo, brindando apoyo operativo y de control, con énfasis en el área de Procura (Compras y Logística) mediante la recepción de requerimientos, solicitud de cotizaciones, selección de proveedores y seguimiento a la adquisición oportuna de bienes, materiales y servicios esenciales.</w:t>
      </w:r>
    </w:p>
    <w:p>
      <w:pPr>
        <w:spacing w:line="360" w:lineRule="auto" w:after="0" w:before="0"/>
        <w:ind w:firstLine="709"/>
        <w:jc w:val="both"/>
      </w:pPr>
      <w:r>
        <w:rPr>
          <w:rFonts w:ascii="Times New Roman" w:hAnsi="Times New Roman"/>
          <w:i w:val="0"/>
          <w:sz w:val="24"/>
        </w:rPr>
        <w:t>Gerencia de Contratación y Administración de Contratos: Encargada del análisis de costos, estimaciones presupuestarias, planificación y control legal y operativo de las licitaciones y contratos vigentes.</w:t>
      </w:r>
    </w:p>
    <w:p>
      <w:pPr>
        <w:spacing w:line="360" w:lineRule="auto" w:after="0" w:before="0"/>
        <w:ind w:firstLine="709"/>
        <w:jc w:val="both"/>
      </w:pPr>
      <w:r>
        <w:rPr>
          <w:rFonts w:ascii="Times New Roman" w:hAnsi="Times New Roman"/>
          <w:i w:val="0"/>
          <w:sz w:val="24"/>
        </w:rPr>
        <w:t>Gerencia de Recursos Humanos y Relaciones Laborales: Dirige el reclutamiento, selección, administración de personal, nómina y la gestión del clima laboral de la empresa.</w:t>
      </w:r>
    </w:p>
    <w:p>
      <w:pPr>
        <w:spacing w:line="360" w:lineRule="auto" w:after="0" w:before="0"/>
        <w:ind w:firstLine="709"/>
        <w:jc w:val="both"/>
      </w:pPr>
      <w:r>
        <w:rPr>
          <w:rFonts w:ascii="Times New Roman" w:hAnsi="Times New Roman"/>
          <w:i w:val="0"/>
          <w:sz w:val="24"/>
        </w:rPr>
        <w:t>Gerencias Técnicas (Proyectos, Optimización, Servicios Eléctricos y Metalmecánico): Áreas especializadas dedicadas al diseño, mantenimiento, ejecución de estructuras metálicas y optimización de servicios de ingeniería en campo.</w:t>
      </w:r>
    </w:p>
    <w:p>
      <w:pPr>
        <w:spacing w:line="360" w:lineRule="auto" w:after="0" w:before="0"/>
        <w:ind w:firstLine="709"/>
        <w:jc w:val="both"/>
      </w:pPr>
      <w:r>
        <w:rPr>
          <w:rFonts w:ascii="Times New Roman" w:hAnsi="Times New Roman"/>
          <w:i w:val="0"/>
          <w:sz w:val="24"/>
        </w:rPr>
        <w:t>Coordinaciones de SIHO-A y Calidad: Unidades orientadas a garantizar la Seguridad Industrial, Higiene Ocupacional y Ambiente, asegurando el cumplimiento de normas de prevención de riesgos y estándares de calidad en las operaciones.</w:t>
      </w:r>
    </w:p>
    <w:p>
      <w:pPr>
        <w:spacing w:before="480"/>
        <w:jc w:val="center"/>
      </w:pPr>
      <w:r>
        <w:drawing>
          <wp:inline xmlns:a="http://schemas.openxmlformats.org/drawingml/2006/main" xmlns:pic="http://schemas.openxmlformats.org/drawingml/2006/picture">
            <wp:extent cx="4320000" cy="2603179"/>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60317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la organización.</w:t>
      </w:r>
      <w:bookmarkEnd w:id="bm_grafico2"/>
    </w:p>
    <w:p>
      <w:pPr>
        <w:sectPr>
          <w:footerReference w:type="default" r:id="rId29"/>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0"/>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departamento administrativo de Lubricantes y Equipos Varyna, C.A., se ha identificado una situación desfavorable relacionada con la complejidad y dispersión del flujo procedimental de la procura. En la actualidad, las solicitudes de compras de materiales e insumos críticos presentan marcados retrasos debido a la ausencia de un canal formalizado de recepción, lo que ocasiona que las requisiciones no sigan una ruta clara ni simplificada de procesamiento.</w:t>
      </w:r>
    </w:p>
    <w:p>
      <w:pPr>
        <w:spacing w:line="360" w:lineRule="auto" w:after="0" w:before="0"/>
        <w:ind w:firstLine="709"/>
        <w:jc w:val="both"/>
      </w:pPr>
      <w:r>
        <w:rPr>
          <w:rFonts w:ascii="Times New Roman" w:hAnsi="Times New Roman"/>
          <w:i w:val="0"/>
          <w:sz w:val="24"/>
        </w:rPr>
        <w:t>Esta falta de estandarización y simplificación administrativa genera cuellos de botella en las instancias de aprobación, pérdida de trazabilidad en el seguimiento de las cotizaciones y tiempos prolongados para la adquisición definitiva de los insumos. Como consecuencia directa, se producen retrasos logísticos en las obras operativas y una sobrecarga de funciones correctivas en el personal de compras, haciendo necesaria una propuesta de simplificación procedimental adaptada a los estándares organizacionales vigentes.</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la simplificación administrativa del proceso de procura en el departamento administrativo de Lubricantes y Equipos Varyna, C.A., con la finalidad de reducir la complejidad procedimental, agilizar los tiempos de adquisición y fortalecer el control interno de las operaciones de compras.</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la empresa para identificar los pasos y procedimientos susceptibles de simplificación.</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complejidades, redundancias y cuellos de botella presentes en las fases de seguimiento, cotización y aprobación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las causas organizativas que generan retrasos y procedimientos innecesariamente complejos en el ciclo de adquisición de insumos y materiales.</w:t>
      </w:r>
    </w:p>
    <w:p>
      <w:pPr>
        <w:spacing w:line="360" w:lineRule="auto"/>
        <w:ind w:firstLine="709"/>
        <w:jc w:val="both"/>
      </w:pPr>
      <w:r>
        <w:rPr>
          <w:rFonts w:ascii="Times New Roman" w:hAnsi="Times New Roman"/>
          <w:sz w:val="24"/>
        </w:rPr>
        <w:t xml:space="preserve">4. </w:t>
      </w:r>
      <w:r>
        <w:rPr>
          <w:rFonts w:ascii="Times New Roman" w:hAnsi="Times New Roman"/>
          <w:sz w:val="24"/>
        </w:rPr>
        <w:t>Diseñar una propuesta de simplificación administrativa que reduzca los pasos procedimentales, agilice los tiempos de respuesta y optimice el control de la procura en el área administrativa.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propuesta de simplificación administrativa:</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Diagnosticar el proceso actual de procura e identificar los pasos susceptibles de simplificación.</w:t>
            </w:r>
          </w:p>
        </w:tc>
        <w:tc>
          <w:tcPr>
            <w:tcW w:w="2551" w:type="dxa"/>
            <w:shd w:val="clear" w:color="auto" w:fill="FFFFFF"/>
          </w:tcPr>
          <w:p>
            <w:pPr>
              <w:spacing w:before="60" w:after="60" w:line="240" w:lineRule="auto"/>
              <w:jc w:val="both"/>
            </w:pPr>
            <w:r>
              <w:rPr>
                <w:rFonts w:ascii="Times New Roman" w:hAnsi="Times New Roman"/>
                <w:b w:val="0"/>
                <w:color w:val="000000"/>
                <w:sz w:val="20"/>
              </w:rPr>
              <w:t>Aplicación de guías de observación directa y entrevistas al personal encargado del ciclo de compras de la empresa.</w:t>
            </w:r>
          </w:p>
        </w:tc>
        <w:tc>
          <w:tcPr>
            <w:tcW w:w="1701" w:type="dxa"/>
            <w:shd w:val="clear" w:color="auto" w:fill="FFFFFF"/>
          </w:tcPr>
          <w:p>
            <w:pPr>
              <w:spacing w:before="60" w:after="60" w:line="240" w:lineRule="auto"/>
              <w:jc w:val="both"/>
            </w:pPr>
            <w:r>
              <w:rPr>
                <w:rFonts w:ascii="Times New Roman" w:hAnsi="Times New Roman"/>
                <w:b w:val="0"/>
                <w:color w:val="000000"/>
                <w:sz w:val="20"/>
              </w:rPr>
              <w:t>Guía de entrevista, libreta de notas de campo, computadora de oficina.</w:t>
            </w:r>
          </w:p>
        </w:tc>
        <w:tc>
          <w:tcPr>
            <w:tcW w:w="1984" w:type="dxa"/>
            <w:shd w:val="clear" w:color="auto" w:fill="FFFFFF"/>
          </w:tcPr>
          <w:p>
            <w:pPr>
              <w:spacing w:before="60" w:after="60" w:line="240" w:lineRule="auto"/>
              <w:jc w:val="both"/>
            </w:pPr>
            <w:r>
              <w:rPr>
                <w:rFonts w:ascii="Times New Roman" w:hAnsi="Times New Roman"/>
                <w:b w:val="0"/>
                <w:color w:val="000000"/>
                <w:sz w:val="20"/>
              </w:rPr>
              <w:t>Mapeo situacional del flujo actual de las solicitudes de compra elaborado.</w:t>
            </w:r>
          </w:p>
        </w:tc>
      </w:tr>
      <w:tr>
        <w:tc>
          <w:tcPr>
            <w:tcW w:w="2551" w:type="dxa"/>
            <w:shd w:val="clear" w:color="auto" w:fill="D9E1F2"/>
          </w:tcPr>
          <w:p>
            <w:pPr>
              <w:spacing w:before="60" w:after="60" w:line="240" w:lineRule="auto"/>
              <w:jc w:val="both"/>
            </w:pPr>
            <w:r>
              <w:rPr>
                <w:rFonts w:ascii="Times New Roman" w:hAnsi="Times New Roman"/>
                <w:b w:val="0"/>
                <w:color w:val="000000"/>
                <w:sz w:val="20"/>
              </w:rPr>
              <w:t>Identificar complejidades, redundancias y cuellos de botella en el seguimiento y aprobación.</w:t>
            </w:r>
          </w:p>
        </w:tc>
        <w:tc>
          <w:tcPr>
            <w:tcW w:w="2551" w:type="dxa"/>
            <w:shd w:val="clear" w:color="auto" w:fill="D9E1F2"/>
          </w:tcPr>
          <w:p>
            <w:pPr>
              <w:spacing w:before="60" w:after="60" w:line="240" w:lineRule="auto"/>
              <w:jc w:val="both"/>
            </w:pPr>
            <w:r>
              <w:rPr>
                <w:rFonts w:ascii="Times New Roman" w:hAnsi="Times New Roman"/>
                <w:b w:val="0"/>
                <w:color w:val="000000"/>
                <w:sz w:val="20"/>
              </w:rPr>
              <w:t>Revisión y análisis de los tiempos promedio de respuesta en expedientes de compras anteriores y detección de fases críticas y pasos duplicados.</w:t>
            </w:r>
          </w:p>
        </w:tc>
        <w:tc>
          <w:tcPr>
            <w:tcW w:w="1701" w:type="dxa"/>
            <w:shd w:val="clear" w:color="auto" w:fill="D9E1F2"/>
          </w:tcPr>
          <w:p>
            <w:pPr>
              <w:spacing w:before="60" w:after="60" w:line="240" w:lineRule="auto"/>
              <w:jc w:val="both"/>
            </w:pPr>
            <w:r>
              <w:rPr>
                <w:rFonts w:ascii="Times New Roman" w:hAnsi="Times New Roman"/>
                <w:b w:val="0"/>
                <w:color w:val="000000"/>
                <w:sz w:val="20"/>
              </w:rPr>
              <w:t>Hojas de registro, histórico de órdenes de compra, software de oficina.</w:t>
            </w:r>
          </w:p>
        </w:tc>
        <w:tc>
          <w:tcPr>
            <w:tcW w:w="1984" w:type="dxa"/>
            <w:shd w:val="clear" w:color="auto" w:fill="D9E1F2"/>
          </w:tcPr>
          <w:p>
            <w:pPr>
              <w:spacing w:before="60" w:after="60" w:line="240" w:lineRule="auto"/>
              <w:jc w:val="both"/>
            </w:pPr>
            <w:r>
              <w:rPr>
                <w:rFonts w:ascii="Times New Roman" w:hAnsi="Times New Roman"/>
                <w:b w:val="0"/>
                <w:color w:val="000000"/>
                <w:sz w:val="20"/>
              </w:rPr>
              <w:t>Matriz de criticidad con los puntos de complejidad y retraso documental identificados.</w:t>
            </w:r>
          </w:p>
        </w:tc>
      </w:tr>
      <w:tr>
        <w:tc>
          <w:tcPr>
            <w:tcW w:w="2551" w:type="dxa"/>
            <w:shd w:val="clear" w:color="auto" w:fill="FFFFFF"/>
          </w:tcPr>
          <w:p>
            <w:pPr>
              <w:spacing w:before="60" w:after="60" w:line="240" w:lineRule="auto"/>
              <w:jc w:val="both"/>
            </w:pPr>
            <w:r>
              <w:rPr>
                <w:rFonts w:ascii="Times New Roman" w:hAnsi="Times New Roman"/>
                <w:b w:val="0"/>
                <w:color w:val="000000"/>
                <w:sz w:val="20"/>
              </w:rPr>
              <w:t>Analizar las causas organizativas que generan procedimientos innecesariamente complejos.</w:t>
            </w:r>
          </w:p>
        </w:tc>
        <w:tc>
          <w:tcPr>
            <w:tcW w:w="2551" w:type="dxa"/>
            <w:shd w:val="clear" w:color="auto" w:fill="FFFFFF"/>
          </w:tcPr>
          <w:p>
            <w:pPr>
              <w:spacing w:before="60" w:after="60" w:line="240" w:lineRule="auto"/>
              <w:jc w:val="both"/>
            </w:pPr>
            <w:r>
              <w:rPr>
                <w:rFonts w:ascii="Times New Roman" w:hAnsi="Times New Roman"/>
                <w:b w:val="0"/>
                <w:color w:val="000000"/>
                <w:sz w:val="20"/>
              </w:rPr>
              <w:t>Clasificación analítica de los factores determinantes de las demoras y redundancias mediante mesas de trabajo técnica con la administración.</w:t>
            </w:r>
          </w:p>
        </w:tc>
        <w:tc>
          <w:tcPr>
            <w:tcW w:w="1701" w:type="dxa"/>
            <w:shd w:val="clear" w:color="auto" w:fill="FFFFFF"/>
          </w:tcPr>
          <w:p>
            <w:pPr>
              <w:spacing w:before="60" w:after="60" w:line="240" w:lineRule="auto"/>
              <w:jc w:val="both"/>
            </w:pPr>
            <w:r>
              <w:rPr>
                <w:rFonts w:ascii="Times New Roman" w:hAnsi="Times New Roman"/>
                <w:b w:val="0"/>
                <w:color w:val="000000"/>
                <w:sz w:val="20"/>
              </w:rPr>
              <w:t>Diagramas causa-efecto, material de papelería, marco de control de procesos.</w:t>
            </w:r>
          </w:p>
        </w:tc>
        <w:tc>
          <w:tcPr>
            <w:tcW w:w="1984" w:type="dxa"/>
            <w:shd w:val="clear" w:color="auto" w:fill="FFFFFF"/>
          </w:tcPr>
          <w:p>
            <w:pPr>
              <w:spacing w:before="60" w:after="60" w:line="240" w:lineRule="auto"/>
              <w:jc w:val="both"/>
            </w:pPr>
            <w:r>
              <w:rPr>
                <w:rFonts w:ascii="Times New Roman" w:hAnsi="Times New Roman"/>
                <w:b w:val="0"/>
                <w:color w:val="000000"/>
                <w:sz w:val="20"/>
              </w:rPr>
              <w:t>Informe analítico con la jerarquización de las causas raíz de la complejidad procedimental.</w:t>
            </w:r>
          </w:p>
        </w:tc>
      </w:tr>
      <w:tr>
        <w:tc>
          <w:tcPr>
            <w:tcW w:w="2551" w:type="dxa"/>
            <w:shd w:val="clear" w:color="auto" w:fill="D9E1F2"/>
          </w:tcPr>
          <w:p>
            <w:pPr>
              <w:spacing w:before="60" w:after="60" w:line="240" w:lineRule="auto"/>
              <w:jc w:val="both"/>
            </w:pPr>
            <w:r>
              <w:rPr>
                <w:rFonts w:ascii="Times New Roman" w:hAnsi="Times New Roman"/>
                <w:b w:val="0"/>
                <w:color w:val="000000"/>
                <w:sz w:val="20"/>
              </w:rPr>
              <w:t>Diseñar una propuesta de simplificación administrativa para el control de la procura.</w:t>
            </w:r>
          </w:p>
        </w:tc>
        <w:tc>
          <w:tcPr>
            <w:tcW w:w="2551" w:type="dxa"/>
            <w:shd w:val="clear" w:color="auto" w:fill="D9E1F2"/>
          </w:tcPr>
          <w:p>
            <w:pPr>
              <w:spacing w:before="60" w:after="60" w:line="240" w:lineRule="auto"/>
              <w:jc w:val="both"/>
            </w:pPr>
            <w:r>
              <w:rPr>
                <w:rFonts w:ascii="Times New Roman" w:hAnsi="Times New Roman"/>
                <w:b w:val="0"/>
                <w:color w:val="000000"/>
                <w:sz w:val="20"/>
              </w:rPr>
              <w:t>Redacción del nuevo flujo de trabajo simplificado, asignación formal de roles y diseño de plantillas estandarizadas para cotizaciones.</w:t>
            </w:r>
          </w:p>
        </w:tc>
        <w:tc>
          <w:tcPr>
            <w:tcW w:w="1701" w:type="dxa"/>
            <w:shd w:val="clear" w:color="auto" w:fill="D9E1F2"/>
          </w:tcPr>
          <w:p>
            <w:pPr>
              <w:spacing w:before="60" w:after="60" w:line="240" w:lineRule="auto"/>
              <w:jc w:val="both"/>
            </w:pPr>
            <w:r>
              <w:rPr>
                <w:rFonts w:ascii="Times New Roman" w:hAnsi="Times New Roman"/>
                <w:b w:val="0"/>
                <w:color w:val="000000"/>
                <w:sz w:val="20"/>
              </w:rPr>
              <w:t>Procesador de texto, guías metodológicas de administración, normativas de la empresa.</w:t>
            </w:r>
          </w:p>
        </w:tc>
        <w:tc>
          <w:tcPr>
            <w:tcW w:w="1984" w:type="dxa"/>
            <w:shd w:val="clear" w:color="auto" w:fill="D9E1F2"/>
          </w:tcPr>
          <w:p>
            <w:pPr>
              <w:spacing w:before="60" w:after="60" w:line="240" w:lineRule="auto"/>
              <w:jc w:val="both"/>
            </w:pPr>
            <w:r>
              <w:rPr>
                <w:rFonts w:ascii="Times New Roman" w:hAnsi="Times New Roman"/>
                <w:b w:val="0"/>
                <w:color w:val="000000"/>
                <w:sz w:val="20"/>
              </w:rPr>
              <w:t>Propuesta de simplificación administrativa de la procura formulada y validada.</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diseño de la propuesta,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23" w:type="dxa"/>
            <w:shd w:val="clear" w:color="auto" w:fill="4472C4"/>
          </w:tcPr>
          <w:p>
            <w:pPr>
              <w:spacing w:before="60" w:after="60" w:line="240" w:lineRule="auto"/>
              <w:jc w:val="center"/>
            </w:pPr>
            <w:r>
              <w:rPr>
                <w:rFonts w:ascii="Times New Roman" w:hAnsi="Times New Roman"/>
                <w:b/>
                <w:color w:val="FFFFFF"/>
                <w:sz w:val="18"/>
              </w:rPr>
              <w:t>S1</w:t>
            </w:r>
          </w:p>
        </w:tc>
        <w:tc>
          <w:tcPr>
            <w:tcW w:w="523" w:type="dxa"/>
            <w:shd w:val="clear" w:color="auto" w:fill="4472C4"/>
          </w:tcPr>
          <w:p>
            <w:pPr>
              <w:spacing w:before="60" w:after="60" w:line="240" w:lineRule="auto"/>
              <w:jc w:val="center"/>
            </w:pPr>
            <w:r>
              <w:rPr>
                <w:rFonts w:ascii="Times New Roman" w:hAnsi="Times New Roman"/>
                <w:b/>
                <w:color w:val="FFFFFF"/>
                <w:sz w:val="18"/>
              </w:rPr>
              <w:t>S2</w:t>
            </w:r>
          </w:p>
        </w:tc>
        <w:tc>
          <w:tcPr>
            <w:tcW w:w="523" w:type="dxa"/>
            <w:shd w:val="clear" w:color="auto" w:fill="4472C4"/>
          </w:tcPr>
          <w:p>
            <w:pPr>
              <w:spacing w:before="60" w:after="60" w:line="240" w:lineRule="auto"/>
              <w:jc w:val="center"/>
            </w:pPr>
            <w:r>
              <w:rPr>
                <w:rFonts w:ascii="Times New Roman" w:hAnsi="Times New Roman"/>
                <w:b/>
                <w:color w:val="FFFFFF"/>
                <w:sz w:val="18"/>
              </w:rPr>
              <w:t>S3</w:t>
            </w:r>
          </w:p>
        </w:tc>
        <w:tc>
          <w:tcPr>
            <w:tcW w:w="523" w:type="dxa"/>
            <w:shd w:val="clear" w:color="auto" w:fill="4472C4"/>
          </w:tcPr>
          <w:p>
            <w:pPr>
              <w:spacing w:before="60" w:after="60" w:line="240" w:lineRule="auto"/>
              <w:jc w:val="center"/>
            </w:pPr>
            <w:r>
              <w:rPr>
                <w:rFonts w:ascii="Times New Roman" w:hAnsi="Times New Roman"/>
                <w:b/>
                <w:color w:val="FFFFFF"/>
                <w:sz w:val="18"/>
              </w:rPr>
              <w:t>S4</w:t>
            </w:r>
          </w:p>
        </w:tc>
        <w:tc>
          <w:tcPr>
            <w:tcW w:w="523" w:type="dxa"/>
            <w:shd w:val="clear" w:color="auto" w:fill="4472C4"/>
          </w:tcPr>
          <w:p>
            <w:pPr>
              <w:spacing w:before="60" w:after="60" w:line="240" w:lineRule="auto"/>
              <w:jc w:val="center"/>
            </w:pPr>
            <w:r>
              <w:rPr>
                <w:rFonts w:ascii="Times New Roman" w:hAnsi="Times New Roman"/>
                <w:b/>
                <w:color w:val="FFFFFF"/>
                <w:sz w:val="18"/>
              </w:rPr>
              <w:t>S5</w:t>
            </w:r>
          </w:p>
        </w:tc>
        <w:tc>
          <w:tcPr>
            <w:tcW w:w="523" w:type="dxa"/>
            <w:shd w:val="clear" w:color="auto" w:fill="4472C4"/>
          </w:tcPr>
          <w:p>
            <w:pPr>
              <w:spacing w:before="60" w:after="60" w:line="240" w:lineRule="auto"/>
              <w:jc w:val="center"/>
            </w:pPr>
            <w:r>
              <w:rPr>
                <w:rFonts w:ascii="Times New Roman" w:hAnsi="Times New Roman"/>
                <w:b/>
                <w:color w:val="FFFFFF"/>
                <w:sz w:val="18"/>
              </w:rPr>
              <w:t>S6</w:t>
            </w:r>
          </w:p>
        </w:tc>
        <w:tc>
          <w:tcPr>
            <w:tcW w:w="523" w:type="dxa"/>
            <w:shd w:val="clear" w:color="auto" w:fill="4472C4"/>
          </w:tcPr>
          <w:p>
            <w:pPr>
              <w:spacing w:before="60" w:after="60" w:line="240" w:lineRule="auto"/>
              <w:jc w:val="center"/>
            </w:pPr>
            <w:r>
              <w:rPr>
                <w:rFonts w:ascii="Times New Roman" w:hAnsi="Times New Roman"/>
                <w:b/>
                <w:color w:val="FFFFFF"/>
                <w:sz w:val="18"/>
              </w:rPr>
              <w:t>S7</w:t>
            </w:r>
          </w:p>
        </w:tc>
        <w:tc>
          <w:tcPr>
            <w:tcW w:w="523" w:type="dxa"/>
            <w:shd w:val="clear" w:color="auto" w:fill="4472C4"/>
          </w:tcPr>
          <w:p>
            <w:pPr>
              <w:spacing w:before="60" w:after="60" w:line="240" w:lineRule="auto"/>
              <w:jc w:val="center"/>
            </w:pPr>
            <w:r>
              <w:rPr>
                <w:rFonts w:ascii="Times New Roman" w:hAnsi="Times New Roman"/>
                <w:b/>
                <w:color w:val="FFFFFF"/>
                <w:sz w:val="18"/>
              </w:rPr>
              <w:t>S8</w:t>
            </w:r>
          </w:p>
        </w:tc>
        <w:tc>
          <w:tcPr>
            <w:tcW w:w="523" w:type="dxa"/>
            <w:shd w:val="clear" w:color="auto" w:fill="4472C4"/>
          </w:tcPr>
          <w:p>
            <w:pPr>
              <w:spacing w:before="60" w:after="60" w:line="240" w:lineRule="auto"/>
              <w:jc w:val="center"/>
            </w:pPr>
            <w:r>
              <w:rPr>
                <w:rFonts w:ascii="Times New Roman" w:hAnsi="Times New Roman"/>
                <w:b/>
                <w:color w:val="FFFFFF"/>
                <w:sz w:val="18"/>
              </w:rPr>
              <w:t>S9</w:t>
            </w:r>
          </w:p>
        </w:tc>
        <w:tc>
          <w:tcPr>
            <w:tcW w:w="523" w:type="dxa"/>
            <w:shd w:val="clear" w:color="auto" w:fill="4472C4"/>
          </w:tcPr>
          <w:p>
            <w:pPr>
              <w:spacing w:before="60" w:after="60" w:line="240" w:lineRule="auto"/>
              <w:jc w:val="center"/>
            </w:pPr>
            <w:r>
              <w:rPr>
                <w:rFonts w:ascii="Times New Roman" w:hAnsi="Times New Roman"/>
                <w:b/>
                <w:color w:val="FFFFFF"/>
                <w:sz w:val="18"/>
              </w:rPr>
              <w:t>S10</w:t>
            </w:r>
          </w:p>
        </w:tc>
      </w:tr>
      <w:tr>
        <w:tc>
          <w:tcPr>
            <w:tcW w:w="3033" w:type="dxa"/>
            <w:shd w:val="clear" w:color="auto" w:fill="FFFFFF"/>
          </w:tcPr>
          <w:p>
            <w:pPr>
              <w:spacing w:before="60" w:after="60" w:line="240" w:lineRule="auto"/>
              <w:jc w:val="both"/>
            </w:pPr>
            <w:r>
              <w:rPr>
                <w:rFonts w:ascii="Times New Roman" w:hAnsi="Times New Roman"/>
                <w:b w:val="0"/>
                <w:color w:val="000000"/>
                <w:sz w:val="20"/>
              </w:rPr>
              <w:t>Reconocimiento del departamento y levantamiento del flujo actual de procura.</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Aplicación de entrevistas y detección de cuellos de botella en las aprobaciones.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Análisis cuantitativo y cualitativo de causas de retraso en el ciclo de compras.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Diseño del nuevo flujo optimizado, roles y plantillas de control.</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Redacción y validación de la propuesta de mejora procedimental.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Presentación formal de la propuesta a la gerencia y ajustes finales.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FFFFFF"/>
          </w:tcPr>
          <w:p>
            <w:pPr>
              <w:spacing w:before="60" w:after="60" w:line="240" w:lineRule="auto"/>
              <w:jc w:val="both"/>
            </w:pPr>
            <w:r>
              <w:rPr>
                <w:rFonts w:ascii="Times New Roman" w:hAnsi="Times New Roman"/>
                <w:b w:val="0"/>
                <w:color w:val="000000"/>
                <w:sz w:val="20"/>
              </w:rPr>
              <w:t>Inducción institucional y familiarización con el sistema de compras vigente.</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Apoyo en la recepción y tramitación de solicitudes de compra del departamento.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Seguimiento a cotizaciones y actualización de expedientes de proveedores.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Apoyo en el cierre administrativo del período y archivo de órdenes de compra.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32"/>
          <w:pgSz w:w="12240" w:h="15840"/>
          <w:pgMar w:top="1701" w:right="1701" w:bottom="1701" w:left="2268" w:header="720" w:footer="720" w:gutter="0"/>
          <w:cols w:space="720"/>
          <w:titlePg/>
          <w:docGrid w:linePitch="360"/>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diez (10) semanas de práctica profesional, se ejecutaron fases sucesivas de diagnóstico, análisis y diseño de la propuesta de simplificación administrativa:</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presentación ante el equipo del departamento administrativo y familiarización con los procedimientos generales de la empresa y el área de procura.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del flujo procedimental de las solicitudes de compra, identificación preliminar de las etapas del ciclo de procura y formulación inicial de la situación problemática en términos de complejidad administrativa.</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clasificación y registro de solicitudes de compra pendientes, y familiarización con el sistema de seguimiento de cotizaciones vigente en el departamento.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Levantamiento detallado del flujo secuencial de las adquisiciones mediante entrevistas informales al personal encargado y elaboración del mapeo situacional del proceso actual.</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tramitación de requisiciones de materiales e insumos, apoyo en la comunicación con proveedores y actualización del registro de cotizaciones en proceso.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Aplicación de guía de entrevista estructurada al personal de compras y administración para identificar los cuellos de botella en las fases de seguimiento y aprobación.</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seguimiento de órdenes de compra abiertas, verificación del estatus de cotizaciones pendientes de respuesta y actualización del registro de proveedores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Revisión y análisis de expedientes históricos de compras para determinar los tiempos promedio de respuesta en cada fase del ciclo de adquisición e identificación de las etapas críticas.</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Tramitación de solicitudes de compra recibidas durante la semana, apoyo en la elaboración de cuadros comparativos de cotizaciones y actualización de la base de proveedores.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Análisis cualitativo y cuantitativo de las causas organizativas que generan retrasos mediante diagramas causa-efecto y clasificación jerárquica de los factores determinantes.</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el seguimiento a cotizaciones pendientes de aprobación gerencial y apoyo en la actualización de expedientes de compras activos del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del nuevo flujo de trabajo simplificado para el proceso de procura, con reducción de pasos, definición de puntos de control, responsables de cada etapa y tiempos máximos de respuesta por fase.</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y procesamiento de requisiciones urgentes del período, y colaboración en la verificación de disponibilidad presupuestaria para compras en trámite.</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 las plantillas estandarizadas de solicitud de cotización, orden de compra y seguimiento de estatus, adaptadas a los requerimientos operativos del departamento.</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Seguimiento a las órdenes de compra en proceso y apoyo en la actualización de los registros de proveedores y expedientes de adquisiciones del período administrativo.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del documento de propuesta de simplificación administrativa, integrando el nuevo flujo simplificado, los formatos diseñados y las recomendaciones de mejora de control interno.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cierre administrativo del ciclo de compras del período y colaboración en el archivo ordenado de las órdenes de compra gestionadas durante la pasantía.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Validación de la propuesta de simplificación con el tutor industrial, incorporación de observaciones y ajustes al documento final para su presentación formal.</w:t>
      </w:r>
    </w:p>
    <w:p>
      <w:pPr>
        <w:spacing w:before="480" w:after="480" w:line="360" w:lineRule="auto"/>
        <w:jc w:val="left"/>
      </w:pPr>
      <w:r>
        <w:rPr>
          <w:rFonts w:ascii="Times New Roman" w:hAnsi="Times New Roman"/>
          <w:b/>
          <w:sz w:val="24"/>
        </w:rPr>
        <w:t>Semana 10</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formal de la propuesta de mejora ante la gerencia del departamento administrativo y firma de la carta de aprobación del tutor industrial.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final del informe académico de pasantías, incorporación de los anexos definitivos y preparación del documento para la entrega institucional.</w:t>
      </w:r>
    </w:p>
    <w:p>
      <w:pPr>
        <w:sectPr>
          <w:footerReference w:type="default" r:id="rId33"/>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V</w:t>
      </w:r>
    </w:p>
    <w:p>
      <w:bookmarkStart w:id="bm_cap5" w:name="bm_cap5"/>
      <w:pPr>
        <w:spacing w:before="480"/>
        <w:jc w:val="center"/>
      </w:pPr>
      <w:r>
        <w:rPr>
          <w:rFonts w:ascii="Times New Roman" w:hAnsi="Times New Roman"/>
          <w:b/>
          <w:sz w:val="24"/>
        </w:rPr>
        <w:t>CONCLUSIONES Y RECOMENDACIONES</w:t>
      </w:r>
      <w:bookmarkEnd w:id="bm_cap5"/>
    </w:p>
    <w:p>
      <w:pPr>
        <w:sectPr>
          <w:footerReference w:type="default" r:id="rId34"/>
          <w:pgSz w:w="12240" w:h="15840"/>
          <w:pgMar w:top="1701" w:right="1701" w:bottom="1701" w:left="2268" w:header="720" w:footer="720" w:gutter="0"/>
          <w:cols w:space="720"/>
          <w:titlePg/>
          <w:docGrid w:linePitch="360"/>
        </w:sectPr>
      </w:pPr>
    </w:p>
    <w:p>
      <w:bookmarkStart w:id="bm_cap5_concl" w:name="bm_cap5_concl"/>
      <w:pPr>
        <w:spacing w:before="480" w:after="480" w:line="360" w:lineRule="auto"/>
        <w:jc w:val="left"/>
      </w:pPr>
      <w:r>
        <w:rPr>
          <w:rFonts w:ascii="Times New Roman" w:hAnsi="Times New Roman"/>
          <w:b/>
          <w:sz w:val="24"/>
        </w:rPr>
        <w:t>Conclusiones</w:t>
      </w:r>
      <w:bookmarkEnd w:id="bm_cap5_concl"/>
    </w:p>
    <w:p>
      <w:pPr>
        <w:spacing w:line="360" w:lineRule="auto"/>
        <w:ind w:firstLine="709"/>
        <w:jc w:val="both"/>
      </w:pPr>
      <w:r>
        <w:rPr>
          <w:rFonts w:ascii="Times New Roman" w:hAnsi="Times New Roman"/>
          <w:sz w:val="24"/>
        </w:rPr>
        <w:t xml:space="preserve">1. </w:t>
      </w:r>
      <w:r>
        <w:rPr>
          <w:rFonts w:ascii="Times New Roman" w:hAnsi="Times New Roman"/>
          <w:sz w:val="24"/>
        </w:rPr>
        <w:t>Se diagnosticó que el proceso actual de procura carece de una ruta simplificada de procesamiento de solicitudes, lo que genera que las requisiciones no sigan un canal claro desde su origen hasta la orden de compra, prolongando los tiempos de respuesta y dificultando el seguimiento de cada adquisición.</w:t>
      </w:r>
    </w:p>
    <w:p>
      <w:pPr>
        <w:spacing w:line="360" w:lineRule="auto"/>
        <w:ind w:firstLine="709"/>
        <w:jc w:val="both"/>
      </w:pPr>
      <w:r>
        <w:rPr>
          <w:rFonts w:ascii="Times New Roman" w:hAnsi="Times New Roman"/>
          <w:sz w:val="24"/>
        </w:rPr>
        <w:t xml:space="preserve">2. </w:t>
      </w:r>
      <w:r>
        <w:rPr>
          <w:rFonts w:ascii="Times New Roman" w:hAnsi="Times New Roman"/>
          <w:sz w:val="24"/>
        </w:rPr>
        <w:t>Se identificaron como principales complejidades y cuellos de botella la ausencia de formatos estandarizados de solicitud, la falta de niveles de autorización definidos por monto y la inexistencia de un mecanismo ágil de seguimiento del estatus de cotizaciones, concentrando la carga operativa en pocos actores del proceso.</w:t>
      </w:r>
    </w:p>
    <w:p>
      <w:pPr>
        <w:spacing w:line="360" w:lineRule="auto"/>
        <w:ind w:firstLine="709"/>
        <w:jc w:val="both"/>
      </w:pPr>
      <w:r>
        <w:rPr>
          <w:rFonts w:ascii="Times New Roman" w:hAnsi="Times New Roman"/>
          <w:sz w:val="24"/>
        </w:rPr>
        <w:t xml:space="preserve">3. </w:t>
      </w:r>
      <w:r>
        <w:rPr>
          <w:rFonts w:ascii="Times New Roman" w:hAnsi="Times New Roman"/>
          <w:sz w:val="24"/>
        </w:rPr>
        <w:t>Se determinó que las causas organizativas de los retrasos en el ciclo de adquisición responden a la ausencia de procedimientos escritos simplificados, la dispersión de responsabilidades y la inexistencia de indicadores que permitan medir el desempeño del proceso de compras.</w:t>
      </w:r>
    </w:p>
    <w:p>
      <w:pPr>
        <w:spacing w:line="360" w:lineRule="auto"/>
        <w:ind w:firstLine="709"/>
        <w:jc w:val="both"/>
      </w:pPr>
      <w:r>
        <w:rPr>
          <w:rFonts w:ascii="Times New Roman" w:hAnsi="Times New Roman"/>
          <w:sz w:val="24"/>
        </w:rPr>
        <w:t xml:space="preserve">4. </w:t>
      </w:r>
      <w:r>
        <w:rPr>
          <w:rFonts w:ascii="Times New Roman" w:hAnsi="Times New Roman"/>
          <w:sz w:val="24"/>
        </w:rPr>
        <w:t>Se diseñó una propuesta de simplificación administrativa que contempla un nuevo flujo de trabajo con menor número de pasos y puntos de control definidos, plantillas estandarizadas de cotización y orden de compra, y una matriz de autorización por monto, herramientas que en conjunto fortalecen el control interno y agilizan el ciclo de adquisición.</w:t>
      </w:r>
    </w:p>
    <w:p>
      <w:bookmarkStart w:id="bm_cap5_recom" w:name="bm_cap5_recom"/>
      <w:pPr>
        <w:spacing w:before="480" w:after="480" w:line="360" w:lineRule="auto"/>
        <w:jc w:val="left"/>
      </w:pPr>
      <w:r>
        <w:rPr>
          <w:rFonts w:ascii="Times New Roman" w:hAnsi="Times New Roman"/>
          <w:b/>
          <w:sz w:val="24"/>
        </w:rPr>
        <w:t>Recomendaciones</w:t>
      </w:r>
      <w:bookmarkEnd w:id="bm_cap5_recom"/>
    </w:p>
    <w:p>
      <w:pPr>
        <w:spacing w:line="360" w:lineRule="auto"/>
        <w:ind w:firstLine="709"/>
        <w:jc w:val="both"/>
      </w:pPr>
      <w:r>
        <w:rPr>
          <w:rFonts w:ascii="Times New Roman" w:hAnsi="Times New Roman"/>
          <w:sz w:val="24"/>
        </w:rPr>
        <w:t xml:space="preserve">1. </w:t>
      </w:r>
      <w:r>
        <w:rPr>
          <w:rFonts w:ascii="Times New Roman" w:hAnsi="Times New Roman"/>
          <w:sz w:val="24"/>
        </w:rPr>
        <w:t>Implementar el nuevo flujo simplificado de forma gradual, comenzando por la formalización del canal de recepción de requisiciones y la adopción de las plantillas estandarizadas de solicitud de cotización y orden de compra.</w:t>
      </w:r>
    </w:p>
    <w:p>
      <w:pPr>
        <w:spacing w:line="360" w:lineRule="auto"/>
        <w:ind w:firstLine="709"/>
        <w:jc w:val="both"/>
      </w:pPr>
      <w:r>
        <w:rPr>
          <w:rFonts w:ascii="Times New Roman" w:hAnsi="Times New Roman"/>
          <w:sz w:val="24"/>
        </w:rPr>
        <w:t xml:space="preserve">2. </w:t>
      </w:r>
      <w:r>
        <w:rPr>
          <w:rFonts w:ascii="Times New Roman" w:hAnsi="Times New Roman"/>
          <w:sz w:val="24"/>
        </w:rPr>
        <w:t>Socializar el manual de procedimientos simplificados de procura con todo el personal involucrado en el ciclo de compras, garantizando que cada actor conozca sus responsabilidades y los tiempos máximos de respuesta establecidos para cada fase.</w:t>
      </w:r>
    </w:p>
    <w:p>
      <w:pPr>
        <w:spacing w:line="360" w:lineRule="auto"/>
        <w:ind w:firstLine="709"/>
        <w:jc w:val="both"/>
      </w:pPr>
      <w:r>
        <w:rPr>
          <w:rFonts w:ascii="Times New Roman" w:hAnsi="Times New Roman"/>
          <w:sz w:val="24"/>
        </w:rPr>
        <w:t xml:space="preserve">3. </w:t>
      </w:r>
      <w:r>
        <w:rPr>
          <w:rFonts w:ascii="Times New Roman" w:hAnsi="Times New Roman"/>
          <w:sz w:val="24"/>
        </w:rPr>
        <w:t>Establecer indicadores de gestión para el proceso de procura, tales como el tiempo promedio de ciclo de compra y el porcentaje de requisiciones tramitadas dentro del plazo, con seguimiento mensual por parte de la gerencia administrativa.</w:t>
      </w:r>
    </w:p>
    <w:p>
      <w:pPr>
        <w:spacing w:line="360" w:lineRule="auto"/>
        <w:ind w:firstLine="709"/>
        <w:jc w:val="both"/>
      </w:pPr>
      <w:r>
        <w:rPr>
          <w:rFonts w:ascii="Times New Roman" w:hAnsi="Times New Roman"/>
          <w:sz w:val="24"/>
        </w:rPr>
        <w:t xml:space="preserve">4. </w:t>
      </w:r>
      <w:r>
        <w:rPr>
          <w:rFonts w:ascii="Times New Roman" w:hAnsi="Times New Roman"/>
          <w:sz w:val="24"/>
        </w:rPr>
        <w:t>Revisar y actualizar el procedimiento simplificado al menos una vez al año, incorporando las lecciones aprendidas durante su ejecución y los cambios en las condiciones operativas o normativas de la organización.</w:t>
      </w:r>
    </w:p>
    <w:p>
      <w:pPr>
        <w:sectPr>
          <w:footerReference w:type="default" r:id="rId35"/>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6"/>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Mantilla, S. (2005). Control interno: Informe COSO (4ta ed.). Ecoe Ediciones, Colombia.</w:t>
      </w:r>
    </w:p>
    <w:p>
      <w:pPr>
        <w:spacing w:line="240" w:lineRule="auto" w:after="480" w:before="0"/>
        <w:ind w:left="425" w:hanging="425"/>
        <w:jc w:val="both"/>
      </w:pPr>
      <w:r>
        <w:rPr>
          <w:rFonts w:ascii="Times New Roman" w:hAnsi="Times New Roman"/>
          <w:sz w:val="24"/>
        </w:rPr>
        <w:t>Monterroso, E. (2002). El proceso de abastecimiento: El aprovisionamiento. Universidad Nacional de Luján, Argentina.</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37"/>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sectPr w:rsidR="00FC693F" w:rsidRPr="0006063C" w:rsidSect="00034616">
      <w:footerReference w:type="default" r:id="rId38"/>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