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Mendoza, Carlos</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Mendoza, Carlos</w:t>
      </w:r>
    </w:p>
    <w:p>
      <w:pPr>
        <w:spacing w:before="0"/>
        <w:jc w:val="center"/>
      </w:pPr>
      <w:r>
        <w:rPr>
          <w:rFonts w:ascii="Times New Roman" w:hAnsi="Times New Roman"/>
          <w:sz w:val="24"/>
        </w:rPr>
        <w:t>C.I.: 4.273.815</w:t>
      </w:r>
    </w:p>
    <w:p>
      <w:pPr>
        <w:sectPr>
          <w:footerReference w:type="default" r:id="rId17"/>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8"/>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2"/>
          <w:pgSz w:w="12240" w:h="15840"/>
          <w:pgMar w:top="1701"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EVALUACIÓN DEL CONTROL ADMINISTRATIVO APLICADO A LA GESTIÓN DE SOLICITUDES DE SERVICIOS DE TELECOMUNICACIONES EN LA EMPRESA INGENIERÍA DE TELECOMUNICACIONES, C.A.</w:t>
      </w:r>
    </w:p>
    <w:tbl>
      <w:tblPr>
        <w:tblStyle w:val="TableGrid"/>
        <w:tblW w:type="auto" w:w="0"/>
        <w:tblLook w:firstColumn="1" w:firstRow="1" w:lastColumn="0" w:lastRow="0" w:noHBand="0" w:noVBand="1" w:val="04A0"/>
      </w:tblPr>
      <w:tblGrid>
        <w:gridCol w:w="4135"/>
        <w:gridCol w:w="4135"/>
      </w:tblGrid>
      <w:tr>
        <w:tc>
          <w:tcPr>
            <w:tcW w:type="dxa" w:w="4135"/>
          </w:tcPr>
          <w:p>
            <w:pPr>
              <w:spacing w:before="60" w:after="60" w:line="240" w:lineRule="auto"/>
              <w:jc w:val="center"/>
            </w:pPr>
            <w:r>
              <w:rPr>
                <w:rFonts w:ascii="Times New Roman" w:hAnsi="Times New Roman"/>
                <w:b/>
                <w:color w:val="000000"/>
                <w:sz w:val="20"/>
              </w:rPr>
              <w:t>Autor</w:t>
            </w:r>
          </w:p>
        </w:tc>
        <w:tc>
          <w:tcPr>
            <w:tcW w:type="dxa" w:w="4135"/>
          </w:tcPr>
          <w:p>
            <w:pPr>
              <w:spacing w:before="60" w:after="60" w:line="240" w:lineRule="auto"/>
              <w:jc w:val="both"/>
            </w:pPr>
            <w:r>
              <w:rPr>
                <w:rFonts w:ascii="Times New Roman" w:hAnsi="Times New Roman"/>
                <w:b w:val="0"/>
                <w:color w:val="000000"/>
                <w:sz w:val="20"/>
              </w:rPr>
              <w:t>Alrifaai Alrifaaie, Amaal</w:t>
            </w:r>
          </w:p>
        </w:tc>
      </w:tr>
      <w:tr>
        <w:tc>
          <w:tcPr>
            <w:tcW w:type="dxa" w:w="4135"/>
          </w:tcPr>
          <w:p>
            <w:pPr>
              <w:spacing w:before="60" w:after="60" w:line="240" w:lineRule="auto"/>
              <w:jc w:val="center"/>
            </w:pPr>
            <w:r>
              <w:rPr>
                <w:rFonts w:ascii="Times New Roman" w:hAnsi="Times New Roman"/>
                <w:b/>
                <w:color w:val="000000"/>
                <w:sz w:val="20"/>
              </w:rPr>
              <w:t>C.I.</w:t>
            </w:r>
          </w:p>
        </w:tc>
        <w:tc>
          <w:tcPr>
            <w:tcW w:type="dxa" w:w="4135"/>
          </w:tcPr>
          <w:p>
            <w:pPr>
              <w:spacing w:before="60" w:after="60" w:line="240" w:lineRule="auto"/>
              <w:jc w:val="both"/>
            </w:pPr>
            <w:r>
              <w:rPr>
                <w:rFonts w:ascii="Times New Roman" w:hAnsi="Times New Roman"/>
                <w:b w:val="0"/>
                <w:color w:val="000000"/>
                <w:sz w:val="20"/>
              </w:rPr>
              <w:t>31.985.792</w:t>
            </w:r>
          </w:p>
        </w:tc>
      </w:tr>
    </w:tbl>
    <w:p>
      <w:pPr>
        <w:spacing w:before="240" w:after="480"/>
        <w:jc w:val="center"/>
      </w:pP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847904"/>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4"/>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Procesos administrativos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del flujo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documentos internos y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del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análisis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de tickets y computadora.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Impacto del control administrativo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estadístico y revisión de registros.</w:t>
            </w:r>
          </w:p>
        </w:tc>
        <w:tc>
          <w:tcPr>
            <w:tcW w:w="1695" w:type="dxa"/>
            <w:shd w:val="clear" w:color="auto" w:fill="FFFFFF"/>
          </w:tcPr>
          <w:p>
            <w:pPr>
              <w:spacing w:before="60" w:after="60" w:line="240" w:lineRule="auto"/>
              <w:jc w:val="both"/>
            </w:pPr>
            <w:r>
              <w:rPr>
                <w:rFonts w:ascii="Times New Roman" w:hAnsi="Times New Roman"/>
                <w:b w:val="0"/>
                <w:color w:val="000000"/>
                <w:sz w:val="20"/>
              </w:rPr>
              <w:t>Base de datos de incidencias y hojas de cálculo.</w:t>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1644" w:type="dxa"/>
            <w:shd w:val="clear" w:color="auto" w:fill="D9E1F2"/>
          </w:tcPr>
          <w:p>
            <w:pPr>
              <w:spacing w:before="60" w:after="60" w:line="240" w:lineRule="auto"/>
              <w:jc w:val="both"/>
            </w:pPr>
            <w:r>
              <w:rPr>
                <w:rFonts w:ascii="Times New Roman" w:hAnsi="Times New Roman"/>
                <w:b w:val="0"/>
                <w:color w:val="000000"/>
                <w:sz w:val="20"/>
              </w:rPr>
              <w:t>Mejoras al proceso de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y normativas internas.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6"/>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line="360" w:lineRule="auto" w:after="0" w:before="0"/>
        <w:ind w:firstLine="709"/>
        <w:jc w:val="both"/>
      </w:pPr>
      <w:r>
        <w:rPr>
          <w:rFonts w:ascii="Times New Roman" w:hAnsi="Times New Roman"/>
          <w:i w:val="0"/>
          <w:sz w:val="24"/>
        </w:rPr>
        <w:t>Desde la perspectiva de quien desarrolla este informe, el control administrativo en IDETEL debe convertirse en una herramienta de seguimiento continuo y no limitarse a la revisión posterior de los casos.</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line="360" w:lineRule="auto" w:after="0" w:before="0"/>
        <w:ind w:firstLine="709"/>
        <w:jc w:val="both"/>
      </w:pPr>
      <w:r>
        <w:rPr>
          <w:rFonts w:ascii="Times New Roman" w:hAnsi="Times New Roman"/>
          <w:i w:val="0"/>
          <w:sz w:val="24"/>
        </w:rPr>
        <w:t>En el contexto de IDETEL, la gestión de solicitudes requiere un flujo único que permita conocer el responsable, el estado y el tiempo de atención de cada caso.</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line="360" w:lineRule="auto" w:after="0" w:before="0"/>
        <w:ind w:firstLine="709"/>
        <w:jc w:val="both"/>
      </w:pPr>
      <w:r>
        <w:rPr>
          <w:rFonts w:ascii="Times New Roman" w:hAnsi="Times New Roman"/>
          <w:i w:val="0"/>
          <w:sz w:val="24"/>
        </w:rPr>
        <w:t>A juicio de quien suscribe, la estandarización propuesta no busca aumentar la carga administrativa, sino eliminar ambigüedades y hacer verificable cada etapa del proceso.</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line="360" w:lineRule="auto" w:after="0" w:before="0"/>
        <w:ind w:firstLine="709"/>
        <w:jc w:val="both"/>
      </w:pPr>
      <w:r>
        <w:rPr>
          <w:rFonts w:ascii="Times New Roman" w:hAnsi="Times New Roman"/>
          <w:i w:val="0"/>
          <w:sz w:val="24"/>
        </w:rPr>
        <w:t>Para este estudio, la calidad del servicio se relaciona directamente con la capacidad administrativa de IDETEL para responder y dar seguimiento oportuno a las solicitudes del suscriptor.</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line="360" w:lineRule="auto" w:after="0" w:before="0"/>
        <w:ind w:firstLine="709"/>
        <w:jc w:val="both"/>
      </w:pPr>
      <w:r>
        <w:rPr>
          <w:rFonts w:ascii="Times New Roman" w:hAnsi="Times New Roman"/>
          <w:i w:val="0"/>
          <w:sz w:val="24"/>
        </w:rPr>
        <w:t>Desde la posición del investigador, una herramienta de seguimiento centralizada es viable para IDETEL porque permite mejorar la trazabilidad sin modificar la naturaleza de los servicios que presta la empresa.</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pacing w:line="360" w:lineRule="auto" w:after="0" w:before="0"/>
        <w:ind w:firstLine="709"/>
        <w:jc w:val="both"/>
      </w:pPr>
      <w:r>
        <w:rPr>
          <w:rFonts w:ascii="Times New Roman" w:hAnsi="Times New Roman"/>
          <w:i w:val="0"/>
          <w:sz w:val="24"/>
        </w:rPr>
        <w:t>La elección del proyecto factible responde a la necesidad de transformar el diagnóstico realizado en procedimientos y formatos aplicables a la realidad operativa de IDETEL.</w:t>
      </w:r>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8"/>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llevaron a cabo actividades de evaluación y análisis en el Departamento de Administración de Ingeniería de Telecomunicaciones, 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de Administración y familiarización con los sistemas de registro y los procedimientos generales de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recepción y procesamiento de solicitudes de servicio, identificación preliminar de los actores involucrados en el proceso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registro de solicitudes de afiliación de nuevos suscriptores, verificación de documentación requerida y actualización del sistema de control de casos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procedimental de solicitudes de instalación e incidencias mediante la revisión de registros históricos y la documentación interna disponible en el departamento.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de solicitudes de servicio activas, actualización del estatus de los casos en el sistema de registro del departamento y apoyo en la coordinación con el área técnica.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y aplicación de guía de observación directa sobre el proceso de gestión de solicitudes, registrando los tiempos de respuesta por etapa y los puntos de interrupción del flujo.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atención al suscriptor vía telefónica y presencial, registro de incidencias reportadas y coordinación con el NOC para el despacho de cuadrillas técnicas de campo.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no estructuradas al personal administrativo, comercial y técnico para identificar las deficiencias percibidas en el sistema de control de solicitudes de servicio.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actualización del registro de suscriptores activos, verificación del cierre de casos pendientes y apoyo en la elaboración de reportes de incidencias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Diagnóstico situacional de las deficiencias del control administrativo, elaboración de la matriz de fallas identificadas y análisis de los tiempos promedio de atención por tipo de solicitud.</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tramitación de contratos de nuevos suscriptores, verificación de la documentación requerida y actualización del registro de afiliaciones del período en el sistema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detectadas sobre la calidad del servicio percibida por los suscriptores, mediante correlación entre tiempos de atención y quejas registradas.</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archivo de expedientes administrativos del ciclo, apoyo en la conciliación de pagos de suscriptores y actualización de la base de datos de clientes.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estandarizado para la gestión de solicitudes, con definición de etapas, responsables, tiempos máximos de respuesta y puntos de control por fase.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generación de reportes de incidencias y solicitudes del período para la supervisión administrativa, y colaboración en la atención de requerimientos de suscriptores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registro de solicitudes de afiliación y de incidencias, y elaboración del procedimiento escrito para la gestión unificada de casos en el departamento.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ciclo de atención al suscriptor correspondiente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al control administrativo de solicitudes de servicio, incorporando las observaciones del tutor industrial y ajustando los procedimientos al contexto operativo de IDETEL.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supervisión del Departamento de Administración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 al IUTECP.</w:t>
      </w:r>
    </w:p>
    <w:p>
      <w:pPr>
        <w:sectPr>
          <w:footerReference w:type="default" r:id="rId3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0"/>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describió el proceso administrativo actual de gestión de solicitudes de IDETEL, identificando un flujo de cuatro etapas (recepción, asignación, ejecución y cierre) que opera sin procedimientos escritos formales, dependiendo de canales informales de comunicación entre las áreas comercial, administrativa y técnica.</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deficiencias del control administrativo la ausencia de un sistema unificado de seguimiento de casos, la falta de formatos estandarizados de registro, la inexistencia de tiempos de respuesta definidos por etapa y la carencia de indicadores de gestión que permitan evaluar el desempeño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debilidades detectadas en el control administrativo generan impactos directos sobre la calidad del servicio percibida por los suscriptores, manifestados en tiempos de atención prolongados, falta de trazabilidad en el estatus de los casos y dificultades en la coordinación interdepartamental que derivan en reprocesos y quejas reiteradas.</w:t>
      </w:r>
    </w:p>
    <w:p>
      <w:pPr>
        <w:spacing w:line="360" w:lineRule="auto"/>
        <w:ind w:firstLine="709"/>
        <w:jc w:val="both"/>
      </w:pPr>
      <w:r>
        <w:rPr>
          <w:rFonts w:ascii="Times New Roman" w:hAnsi="Times New Roman"/>
          <w:sz w:val="24"/>
        </w:rPr>
        <w:t xml:space="preserve">4. </w:t>
      </w:r>
      <w:r>
        <w:rPr>
          <w:rFonts w:ascii="Times New Roman" w:hAnsi="Times New Roman"/>
          <w:sz w:val="24"/>
        </w:rPr>
        <w:t>Se formuló una propuesta de mejora al control administrativo que contempla un nuevo flujo de trabajo estandarizado con etapas y responsables definidos, formatos unificados de registro de solicitudes e incidencias, y un conjunto de indicadores de gestión para el monitoreo continuo del proceso de atención al suscriptor.</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estandarizado propuesto, comenzando por la formalización del canal de recepción de solicitudes y la adopción de los formatos unificados de registro de afiliaciones e incidencias en todos los departamentos involucrados.</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gestión de solicitudes con el personal de las áreas administrativa, comercial y técnica, garantizando que cada actor conozca su rol, sus responsabilidades y los tiempos máximos de respuesta establecidos para cada fase del proceso.</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atención al suscriptor, tales como el tiempo promedio de resolución de incidencias, el porcentaje de solicitudes cerradas dentro del plazo y el índice de reincidencias por caso, con seguimiento mensual por parte de la supervisión.</w:t>
      </w:r>
    </w:p>
    <w:p>
      <w:pPr>
        <w:spacing w:line="360" w:lineRule="auto"/>
        <w:ind w:firstLine="709"/>
        <w:jc w:val="both"/>
      </w:pPr>
      <w:r>
        <w:rPr>
          <w:rFonts w:ascii="Times New Roman" w:hAnsi="Times New Roman"/>
          <w:sz w:val="24"/>
        </w:rPr>
        <w:t xml:space="preserve">4. </w:t>
      </w:r>
      <w:r>
        <w:rPr>
          <w:rFonts w:ascii="Times New Roman" w:hAnsi="Times New Roman"/>
          <w:sz w:val="24"/>
        </w:rPr>
        <w:t>Evaluar la incorporación de una plataforma de gestión de tickets de código abierto que centralice el registro y seguimiento de solicitudes en tiempo real, eliminando la dependencia de canales informales de comunicación y dotando a la organización de trazabilidad completa sobre el ciclo de vida de cada caso.</w:t>
      </w:r>
    </w:p>
    <w:p>
      <w:pPr>
        <w:sectPr>
          <w:footerReference w:type="default" r:id="rId41"/>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2"/>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3"/>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4"/>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de gestión de solicitudes de servicios]</w:t>
      </w:r>
    </w:p>
    <w:p>
      <w:pPr>
        <w:jc w:val="center"/>
      </w:pPr>
      <w:r>
        <w:drawing>
          <wp:inline xmlns:a="http://schemas.openxmlformats.org/drawingml/2006/main" xmlns:pic="http://schemas.openxmlformats.org/drawingml/2006/picture">
            <wp:extent cx="1341609" cy="6120000"/>
            <wp:docPr id="5" name="Picture 5"/>
            <wp:cNvGraphicFramePr>
              <a:graphicFrameLocks noChangeAspect="1"/>
            </wp:cNvGraphicFramePr>
            <a:graphic>
              <a:graphicData uri="http://schemas.openxmlformats.org/drawingml/2006/picture">
                <pic:pic>
                  <pic:nvPicPr>
                    <pic:cNvPr id="0" name="4.png"/>
                    <pic:cNvPicPr/>
                  </pic:nvPicPr>
                  <pic:blipFill>
                    <a:blip r:embed="rId13"/>
                    <a:stretch>
                      <a:fillRect/>
                    </a:stretch>
                  </pic:blipFill>
                  <pic:spPr>
                    <a:xfrm>
                      <a:off x="0" y="0"/>
                      <a:ext cx="1341609" cy="6120000"/>
                    </a:xfrm>
                    <a:prstGeom prst="rect"/>
                  </pic:spPr>
                </pic:pic>
              </a:graphicData>
            </a:graphic>
          </wp:inline>
        </w:drawing>
      </w:r>
    </w:p>
    <w:sectPr w:rsidR="00FC693F" w:rsidRPr="0006063C" w:rsidSect="00034616">
      <w:footerReference w:type="default" r:id="rId45"/>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footer" Target="footer13.xml"/><Relationship Id="rId27" Type="http://schemas.openxmlformats.org/officeDocument/2006/relationships/footer" Target="footer14.xml"/><Relationship Id="rId28" Type="http://schemas.openxmlformats.org/officeDocument/2006/relationships/footer" Target="footer15.xml"/><Relationship Id="rId29" Type="http://schemas.openxmlformats.org/officeDocument/2006/relationships/footer" Target="footer16.xml"/><Relationship Id="rId30" Type="http://schemas.openxmlformats.org/officeDocument/2006/relationships/footer" Target="footer17.xml"/><Relationship Id="rId31" Type="http://schemas.openxmlformats.org/officeDocument/2006/relationships/footer" Target="footer18.xml"/><Relationship Id="rId32" Type="http://schemas.openxmlformats.org/officeDocument/2006/relationships/footer" Target="footer19.xml"/><Relationship Id="rId33" Type="http://schemas.openxmlformats.org/officeDocument/2006/relationships/footer" Target="footer20.xml"/><Relationship Id="rId34" Type="http://schemas.openxmlformats.org/officeDocument/2006/relationships/footer" Target="footer21.xml"/><Relationship Id="rId35" Type="http://schemas.openxmlformats.org/officeDocument/2006/relationships/footer" Target="footer22.xml"/><Relationship Id="rId36" Type="http://schemas.openxmlformats.org/officeDocument/2006/relationships/footer" Target="footer23.xml"/><Relationship Id="rId37" Type="http://schemas.openxmlformats.org/officeDocument/2006/relationships/footer" Target="footer24.xml"/><Relationship Id="rId38" Type="http://schemas.openxmlformats.org/officeDocument/2006/relationships/footer" Target="footer25.xml"/><Relationship Id="rId39" Type="http://schemas.openxmlformats.org/officeDocument/2006/relationships/footer" Target="footer26.xml"/><Relationship Id="rId40" Type="http://schemas.openxmlformats.org/officeDocument/2006/relationships/footer" Target="footer27.xml"/><Relationship Id="rId41" Type="http://schemas.openxmlformats.org/officeDocument/2006/relationships/footer" Target="footer28.xml"/><Relationship Id="rId42" Type="http://schemas.openxmlformats.org/officeDocument/2006/relationships/footer" Target="footer29.xml"/><Relationship Id="rId43" Type="http://schemas.openxmlformats.org/officeDocument/2006/relationships/footer" Target="footer30.xml"/><Relationship Id="rId44" Type="http://schemas.openxmlformats.org/officeDocument/2006/relationships/footer" Target="footer31.xml"/><Relationship Id="rId45"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