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6"/>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27"/>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8"/>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9"/>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30"/>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31"/>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2"/>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33"/>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34"/>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35"/>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6"/>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7"/>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Diagrama entidad-relación del módulo de expedientes</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H</w:t>
        <w:tab/>
        <w:t>Mapa de módulos de la interfaz</w:t>
        <w:tab/>
      </w:r>
      <w:r>
        <w:rPr>
          <w:rFonts w:ascii="Times New Roman" w:hAnsi="Times New Roman"/>
          <w:b w:val="0"/>
          <w:sz w:val="24"/>
        </w:rPr>
        <w:fldChar w:fldCharType="begin"/>
        <w:instrText xml:space="preserve"> PAGEREF bm_anexoH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I</w:t>
        <w:tab/>
        <w:t>Proceso de respaldo periódico de SQLite</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38"/>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9"/>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40"/>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41"/>
          <w:footerReference w:type="first" r:id="rId42"/>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43"/>
          <w:footerReference w:type="first" r:id="rId44"/>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before="120" w:line="240" w:lineRule="auto"/>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47"/>
          <w:footerReference w:type="first" r:id="rId48"/>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los expedientes, catálogos, documentos asociados e historial de movimientos;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51"/>
          <w:footerReference w:type="first" r:id="rId52"/>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spacing w:line="360" w:lineRule="auto" w:after="0" w:before="0"/>
        <w:ind w:firstLine="709"/>
        <w:jc w:val="both"/>
      </w:pPr>
      <w:r>
        <w:rPr>
          <w:rFonts w:ascii="Times New Roman" w:hAnsi="Times New Roman"/>
          <w:i w:val="0"/>
          <w:sz w:val="24"/>
        </w:rPr>
        <w:t>A juicio de quien suscribe, el modelo relacional resulta adecuado porque separa los datos maestros de los registros operativos y conserva la trazabilidad de cada expediente.</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55"/>
          <w:footerReference w:type="first" r:id="rId56"/>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57"/>
          <w:footerReference w:type="first" r:id="rId58"/>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59"/>
          <w:footerReference w:type="first" r:id="rId60"/>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61"/>
          <w:footerReference w:type="first" r:id="rId62"/>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relacionando expedientes con sus catálogos, documentos, frentes adicionales e historial de movimientos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63"/>
          <w:footerReference w:type="first" r:id="rId64"/>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65"/>
          <w:footerReference w:type="first" r:id="rId66"/>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67"/>
          <w:footerReference w:type="first" r:id="rId68"/>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9"/>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ectPr>
          <w:footerReference w:type="default" r:id="rId70"/>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[Flujograma AS-IS del proceso documental actual de Presidencia]</w:t>
      </w:r>
    </w:p>
    <w:p>
      <w:pPr>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1"/>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TO-BE del proceso con el sistema automatizado]</w:t>
      </w:r>
    </w:p>
    <w:p>
      <w:pPr>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2"/>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[Diagrama entidad-relación del módulo de expedientes]</w:t>
      </w:r>
    </w:p>
    <w:p>
      <w:pPr>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a partir de expedientes_schema.sql (2026).</w:t>
      </w:r>
    </w:p>
    <w:p>
      <w:pPr>
        <w:sectPr>
          <w:footerReference w:type="default" r:id="rId73"/>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[Arquitectura lógica del prototipo]</w:t>
      </w:r>
    </w:p>
    <w:p>
      <w:pPr>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4"/>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[Secuencia de registro y despacho de un expediente]</w:t>
      </w:r>
    </w:p>
    <w:p>
      <w:pPr>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5"/>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[Estados del expediente]</w:t>
      </w:r>
    </w:p>
    <w:p>
      <w:pPr>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6"/>
          <w:pgSz w:w="12240" w:h="15840"/>
          <w:pgMar w:top="1701" w:right="1701" w:bottom="1701" w:left="2268" w:header="720" w:footer="720" w:gutter="0"/>
          <w:cols w:space="720"/>
          <w:docGrid w:linePitch="360"/>
          <w:pgNumType w:fmt="decimal"/>
        </w:sectPr>
      </w:pPr>
    </w:p>
    <w:p>
      <w:bookmarkStart w:id="bm_anexoH" w:name="bm_anexoH"/>
      <w:pPr>
        <w:spacing w:before="0" w:after="480"/>
        <w:jc w:val="center"/>
      </w:pPr>
      <w:bookmarkEnd w:id="bm_anexoH"/>
      <w:r>
        <w:rPr>
          <w:rFonts w:ascii="Times New Roman" w:hAnsi="Times New Roman"/>
          <w:b/>
          <w:sz w:val="24"/>
        </w:rPr>
        <w:t>ANEXO H</w:t>
      </w:r>
    </w:p>
    <w:p>
      <w:pPr>
        <w:spacing w:before="240" w:after="480"/>
        <w:jc w:val="center"/>
      </w:pPr>
      <w:r>
        <w:rPr>
          <w:rFonts w:ascii="Times New Roman" w:hAnsi="Times New Roman"/>
          <w:b/>
          <w:sz w:val="24"/>
        </w:rPr>
        <w:t>[Mapa de módulos de la interfaz]</w:t>
      </w:r>
    </w:p>
    <w:p>
      <w:pPr>
        <w:jc w:val="center"/>
      </w:pPr>
      <w:r>
        <w:drawing>
          <wp:inline xmlns:a="http://schemas.openxmlformats.org/drawingml/2006/main" xmlns:pic="http://schemas.openxmlformats.org/drawingml/2006/picture">
            <wp:extent cx="2027283" cy="5400000"/>
            <wp:docPr id="13" name="Picture 13"/>
            <wp:cNvGraphicFramePr>
              <a:graphicFrameLocks noChangeAspect="1"/>
            </wp:cNvGraphicFramePr>
            <a:graphic>
              <a:graphicData uri="http://schemas.openxmlformats.org/drawingml/2006/picture">
                <pic:pic>
                  <pic:nvPicPr>
                    <pic:cNvPr id="0" name="11_mapa_modulos_interfaz.png"/>
                    <pic:cNvPicPr/>
                  </pic:nvPicPr>
                  <pic:blipFill>
                    <a:blip r:embed="rId21"/>
                    <a:stretch>
                      <a:fillRect/>
                    </a:stretch>
                  </pic:blipFill>
                  <pic:spPr>
                    <a:xfrm>
                      <a:off x="0" y="0"/>
                      <a:ext cx="2027283"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7"/>
          <w:pgSz w:w="12240" w:h="15840"/>
          <w:pgMar w:top="1701" w:right="1701" w:bottom="1701" w:left="2268" w:header="720" w:footer="720" w:gutter="0"/>
          <w:cols w:space="720"/>
          <w:docGrid w:linePitch="360"/>
          <w:pgNumType w:fmt="decimal"/>
        </w:sectPr>
      </w:pPr>
    </w:p>
    <w:p>
      <w:bookmarkStart w:id="bm_anexoI" w:name="bm_anexoI"/>
      <w:pPr>
        <w:spacing w:before="0" w:after="480"/>
        <w:jc w:val="center"/>
      </w:pPr>
      <w:bookmarkEnd w:id="bm_anexoI"/>
      <w:r>
        <w:rPr>
          <w:rFonts w:ascii="Times New Roman" w:hAnsi="Times New Roman"/>
          <w:b/>
          <w:sz w:val="24"/>
        </w:rPr>
        <w:t>ANEXO I</w:t>
      </w:r>
    </w:p>
    <w:p>
      <w:pPr>
        <w:spacing w:before="240" w:after="480"/>
        <w:jc w:val="center"/>
      </w:pPr>
      <w:r>
        <w:rPr>
          <w:rFonts w:ascii="Times New Roman" w:hAnsi="Times New Roman"/>
          <w:b/>
          <w:sz w:val="24"/>
        </w:rPr>
        <w:t>[Proceso de respaldo periódico de SQLite]</w:t>
      </w:r>
    </w:p>
    <w:p>
      <w:pPr>
        <w:jc w:val="center"/>
      </w:pPr>
      <w:r>
        <w:drawing>
          <wp:inline xmlns:a="http://schemas.openxmlformats.org/drawingml/2006/main" xmlns:pic="http://schemas.openxmlformats.org/drawingml/2006/picture">
            <wp:extent cx="2883349" cy="5400000"/>
            <wp:docPr id="14" name="Picture 14"/>
            <wp:cNvGraphicFramePr>
              <a:graphicFrameLocks noChangeAspect="1"/>
            </wp:cNvGraphicFramePr>
            <a:graphic>
              <a:graphicData uri="http://schemas.openxmlformats.org/drawingml/2006/picture">
                <pic:pic>
                  <pic:nvPicPr>
                    <pic:cNvPr id="0" name="12_proceso_respaldo_sqlite.png"/>
                    <pic:cNvPicPr/>
                  </pic:nvPicPr>
                  <pic:blipFill>
                    <a:blip r:embed="rId22"/>
                    <a:stretch>
                      <a:fillRect/>
                    </a:stretch>
                  </pic:blipFill>
                  <pic:spPr>
                    <a:xfrm>
                      <a:off x="0" y="0"/>
                      <a:ext cx="2883349"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sectPr w:rsidR="00FC693F" w:rsidRPr="0006063C" w:rsidSect="00034616">
      <w:footerReference w:type="default" r:id="rId78"/>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 Id="rId52" Type="http://schemas.openxmlformats.org/officeDocument/2006/relationships/footer" Target="footer30.xml"/><Relationship Id="rId53" Type="http://schemas.openxmlformats.org/officeDocument/2006/relationships/footer" Target="footer31.xml"/><Relationship Id="rId54" Type="http://schemas.openxmlformats.org/officeDocument/2006/relationships/footer" Target="footer32.xml"/><Relationship Id="rId55" Type="http://schemas.openxmlformats.org/officeDocument/2006/relationships/footer" Target="footer33.xml"/><Relationship Id="rId56" Type="http://schemas.openxmlformats.org/officeDocument/2006/relationships/footer" Target="footer34.xml"/><Relationship Id="rId57" Type="http://schemas.openxmlformats.org/officeDocument/2006/relationships/footer" Target="footer35.xml"/><Relationship Id="rId58" Type="http://schemas.openxmlformats.org/officeDocument/2006/relationships/footer" Target="footer36.xml"/><Relationship Id="rId59" Type="http://schemas.openxmlformats.org/officeDocument/2006/relationships/footer" Target="footer37.xml"/><Relationship Id="rId60" Type="http://schemas.openxmlformats.org/officeDocument/2006/relationships/footer" Target="footer38.xml"/><Relationship Id="rId61" Type="http://schemas.openxmlformats.org/officeDocument/2006/relationships/footer" Target="footer39.xml"/><Relationship Id="rId62" Type="http://schemas.openxmlformats.org/officeDocument/2006/relationships/footer" Target="footer40.xml"/><Relationship Id="rId63" Type="http://schemas.openxmlformats.org/officeDocument/2006/relationships/footer" Target="footer41.xml"/><Relationship Id="rId64" Type="http://schemas.openxmlformats.org/officeDocument/2006/relationships/footer" Target="footer42.xml"/><Relationship Id="rId65" Type="http://schemas.openxmlformats.org/officeDocument/2006/relationships/footer" Target="footer43.xml"/><Relationship Id="rId66" Type="http://schemas.openxmlformats.org/officeDocument/2006/relationships/footer" Target="footer44.xml"/><Relationship Id="rId67" Type="http://schemas.openxmlformats.org/officeDocument/2006/relationships/footer" Target="footer45.xml"/><Relationship Id="rId68" Type="http://schemas.openxmlformats.org/officeDocument/2006/relationships/footer" Target="footer46.xml"/><Relationship Id="rId69" Type="http://schemas.openxmlformats.org/officeDocument/2006/relationships/footer" Target="footer47.xml"/><Relationship Id="rId70" Type="http://schemas.openxmlformats.org/officeDocument/2006/relationships/footer" Target="footer48.xml"/><Relationship Id="rId71" Type="http://schemas.openxmlformats.org/officeDocument/2006/relationships/footer" Target="footer49.xml"/><Relationship Id="rId72" Type="http://schemas.openxmlformats.org/officeDocument/2006/relationships/footer" Target="footer50.xml"/><Relationship Id="rId73" Type="http://schemas.openxmlformats.org/officeDocument/2006/relationships/footer" Target="footer51.xml"/><Relationship Id="rId74" Type="http://schemas.openxmlformats.org/officeDocument/2006/relationships/footer" Target="footer52.xml"/><Relationship Id="rId75" Type="http://schemas.openxmlformats.org/officeDocument/2006/relationships/footer" Target="footer53.xml"/><Relationship Id="rId76" Type="http://schemas.openxmlformats.org/officeDocument/2006/relationships/footer" Target="footer54.xml"/><Relationship Id="rId77" Type="http://schemas.openxmlformats.org/officeDocument/2006/relationships/footer" Target="footer55.xml"/><Relationship Id="rId78" Type="http://schemas.openxmlformats.org/officeDocument/2006/relationships/footer" Target="footer5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