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Lubricantes y Equipos Varyna,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Administrativo / Área de Procura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 / Ciencias Comerciales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5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06 al 10 de julio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Keidy Guzmán |  C.I.: 28.706.352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TUTOR INDUSTRIAL: </w:t>
      </w:r>
      <w:r>
        <w:rPr>
          <w:rFonts w:ascii="Times New Roman" w:hAnsi="Times New Roman"/>
          <w:sz w:val="24"/>
        </w:rPr>
        <w:t>Martina Rondón | C.I.: 12.208.768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Analizar las causas de las demoras del proceso de procura y elaborar el diagrama de Ishikawa.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Tramitación de solicitudes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Apoyar la gestión de solicitudes de compra del período.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Formatos de requisición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Cuadros comparativos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Colaborar en la comparación de cotizaciones de proveedores.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Excel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Actualización de proveedores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Incorporar información necesaria al registro de proveedores.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Diagrama de Ishikawa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Organizar las causas detectadas en categorías relacionadas con procedimiento, documentación, responsabilidades y seguimiento.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Herramienta de diagramación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Jerarquización de causas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Clasificar los factores según su incidencia sobre los retrasos y la trazabilidad.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Matriz de causas</w:t>
            </w:r>
          </w:p>
        </w:tc>
      </w:tr>
    </w:tbl>
    <w:p>
      <w:pPr>
        <w:spacing w:line="240" w:lineRule="auto" w:before="0" w:after="120"/>
        <w:ind w:firstLine="0"/>
      </w:pPr>
      <w:r>
        <w:rPr>
          <w:rFonts w:ascii="Times New Roman" w:hAnsi="Times New Roman"/>
          <w:i/>
          <w:sz w:val="20"/>
        </w:rPr>
        <w:t xml:space="preserve">Fuente: </w:t>
      </w:r>
      <w:r>
        <w:rPr>
          <w:rFonts w:ascii="Times New Roman" w:hAnsi="Times New Roman"/>
          <w:sz w:val="20"/>
        </w:rPr>
        <w:t>Guzmán K. (2026).</w:t>
      </w:r>
    </w:p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Diagrama de Ishikawa y jerarquización de causas del proceso.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La pasante mostró capacidad de análisis al organizar y jerarquizar las causas asociadas con las demoras del proceso de procura, elaborando correctamente el diagrama de Ishikawa como herramienta de diagnóstico.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5815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keid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581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3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74659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tutor_keid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465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Keidy Guzmán |  C.I.: 28.706.352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Tutor Industrial:</w:t>
              <w:br/>
              <w:t>Martina Rondón | C.I.: 12.208.768</w:t>
            </w:r>
          </w:p>
        </w:tc>
      </w:tr>
    </w:tbl>
    <w:p/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1440000" cy="6334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o_keid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3340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