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29 de junio al 03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Completar el diagnóstico de las deficiencias del control administrativo y elaborar el diagrama de Ishikawa.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administrativo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facturación, actualización de registros y seguimiento de casos.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documentos administrativos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registros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Contrastar solicitudes e incidencias para detectar retrasos y datos faltantes.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Registros históricos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Diagrama de Ishikawa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Representar las causas asociadas con procedimiento, comunicación, registro y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causas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Relacionar las causas con las principales manifestaciones observadas.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Matriz de hallazgos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Bases teóricas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Iniciar la redacción del Capítulo III sobre control administrativo y gestión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Bibliografía, procesador de textos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Diagnóstico situacional, diagrama de Ishikawa y avance del marco teórico.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demostró capacidad de análisis al identificar y organizar las causas asociadas con las deficiencias del control administrativo, desarrollando de forma adecuada el diagrama de Ishikawa y relacionándolo con los hallazgos obtenidos.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