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32"/>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Lic.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3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Lic. Lenny Mata</w:t>
      </w:r>
    </w:p>
    <w:p>
      <w:pPr>
        <w:spacing w:before="0"/>
        <w:jc w:val="center"/>
      </w:pPr>
      <w:r>
        <w:rPr>
          <w:rFonts w:ascii="Times New Roman" w:hAnsi="Times New Roman"/>
          <w:sz w:val="24"/>
        </w:rPr>
        <w:t>C.I.: 8969750</w:t>
      </w:r>
    </w:p>
    <w:p>
      <w:pPr>
        <w:sectPr>
          <w:footerReference w:type="default" r:id="rId3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35"/>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footerReference w:type="default" r:id="rId36"/>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constante, comprensión y motivación durante mi formación académica y en el desarrollo de esta etapa profesional.</w:t>
      </w:r>
    </w:p>
    <w:p>
      <w:pPr>
        <w:sectPr>
          <w:footerReference w:type="default" r:id="rId37"/>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8"/>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39"/>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40"/>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Diagrama de Ishikawa del control de solicitudes</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AS-IS de afiliaciones e incidencias</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interdepartamental de gestión de solicitudes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Estados de una solicitud de servicio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Comunicación interdepartamental</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Comparación AS-IS y TO-BE del control de solicitudes</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Diagrama de Ishikawa del control y trazabilidad de las solicitudes de servicio</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Memoria fotográfica de las actividades realizadas</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41"/>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 Alrifaai Alrifaaie, Amaal</w:t>
        <w:br/>
      </w:r>
      <w:r>
        <w:rPr>
          <w:rFonts w:ascii="Times New Roman" w:hAnsi="Times New Roman"/>
          <w:sz w:val="24"/>
        </w:rPr>
        <w:t>C.I.: 31.985.792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42"/>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43"/>
          <w:footerReference w:type="first" r:id="rId44"/>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Ingeniería de Telecomunicaciones,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keepNext/>
        <w:keepLines/>
        <w:spacing w:before="480"/>
        <w:jc w:val="center"/>
      </w:pPr>
      <w:r>
        <w:drawing>
          <wp:inline xmlns:a="http://schemas.openxmlformats.org/drawingml/2006/main" xmlns:pic="http://schemas.openxmlformats.org/drawingml/2006/picture">
            <wp:extent cx="1800000" cy="1125000"/>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125000"/>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Ingeniería de Telecomunicaciones, C.A.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Empresa</w:t>
            </w:r>
          </w:p>
        </w:tc>
        <w:tc>
          <w:tcPr>
            <w:tcW w:type="dxa" w:w="2886"/>
          </w:tcPr>
          <w:p>
            <w:pPr>
              <w:spacing w:line="240" w:lineRule="auto" w:before="40" w:after="40"/>
              <w:jc w:val="left"/>
            </w:pPr>
            <w:r/>
            <w:r>
              <w:rPr>
                <w:rFonts w:ascii="Times New Roman" w:hAnsi="Times New Roman"/>
                <w:sz w:val="20"/>
              </w:rPr>
              <w:t>Personal activo en los cargos de la estructura organizativa</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Ingeniería de Telecomunicaciones, C.A. (2026).</w:t>
      </w:r>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keepNext/>
        <w:keepLines/>
        <w:spacing w:before="480"/>
        <w:jc w:val="center"/>
      </w:pPr>
      <w:r>
        <w:drawing>
          <wp:inline xmlns:a="http://schemas.openxmlformats.org/drawingml/2006/main" xmlns:pic="http://schemas.openxmlformats.org/drawingml/2006/picture">
            <wp:extent cx="4320000" cy="1847904"/>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1847904"/>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Ingeniería de Telecomunicaciones, C.A.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pPr>
        <w:keepNext/>
        <w:keepLines/>
        <w:spacing w:before="480"/>
        <w:jc w:val="center"/>
      </w:pPr>
      <w:r>
        <w:drawing>
          <wp:inline xmlns:a="http://schemas.openxmlformats.org/drawingml/2006/main" xmlns:pic="http://schemas.openxmlformats.org/drawingml/2006/picture">
            <wp:extent cx="4320000" cy="2680292"/>
            <wp:docPr id="7" name="Picture 7"/>
            <wp:cNvGraphicFramePr>
              <a:graphicFrameLocks noChangeAspect="1"/>
            </wp:cNvGraphicFramePr>
            <a:graphic>
              <a:graphicData uri="http://schemas.openxmlformats.org/drawingml/2006/picture">
                <pic:pic>
                  <pic:nvPicPr>
                    <pic:cNvPr id="0" name="3.png"/>
                    <pic:cNvPicPr/>
                  </pic:nvPicPr>
                  <pic:blipFill>
                    <a:blip r:embed="rId15"/>
                    <a:stretch>
                      <a:fillRect/>
                    </a:stretch>
                  </pic:blipFill>
                  <pic:spPr>
                    <a:xfrm>
                      <a:off x="0" y="0"/>
                      <a:ext cx="4320000" cy="2680292"/>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Administración.</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control administrativo aplicado a la gestión de solicitudes de servicios en Ingeniería de Telecomunicaciones, C.A. Para comprender la problemática de manera progresiva, se consideran aspectos generales relacionados con las organizaciones de servicio, las características propias del sector de telecomunicaciones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y causas presentes en los mecanismos de control de las solicitudes de servicio, considerando su incidencia en los tiempos de respuesta, la trazabilidad de los casos y la atención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Formular mejoras al control administrativo de las solicitudes mediante un flujo estandarizado, formatos de registro, responsables por etapa e indicadores básicos de seguimiento.</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describir las etapas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y causas presentes en los mecanismos de control de las solicitudes de servicio, considerando su incidencia en los tiempos de respuesta, la trazabilidad de los casos y la atención al suscriptor.</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y causas que afectan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Aplicar entrevistas estructuradas al personal, revisar casos históricos, comparar tiempos de respuesta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comparación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reportes internos,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mejoras al control administrativo de las solicitudes mediante un flujo estandarizado, formatos de registro, responsables por etapa e indicadores básicos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Alrifaai A.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3"/>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34"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footerReference w:type="first" r:id="rId48"/>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5" w:name="bm_cap3"/>
      <w:pPr>
        <w:pStyle w:val="IUTECPCapítulo"/>
        <w:spacing w:before="480"/>
        <w:jc w:val="center"/>
      </w:pPr>
      <w:r>
        <w:rPr>
          <w:rFonts w:ascii="Times New Roman" w:hAnsi="Times New Roman"/>
          <w:b/>
          <w:sz w:val="24"/>
        </w:rPr>
        <w:t>MARCO TEÓRICO</w:t>
      </w:r>
      <w:bookmarkEnd w:id="35"/>
    </w:p>
    <w:p>
      <w:bookmarkStart w:id="36" w:name="bm_cap3_bases"/>
      <w:pPr>
        <w:pStyle w:val="IUTECPTítulo2"/>
        <w:keepNext/>
        <w:keepLines/>
        <w:spacing w:before="480" w:after="480" w:line="360" w:lineRule="auto"/>
        <w:jc w:val="left"/>
      </w:pPr>
      <w:r>
        <w:rPr>
          <w:rFonts w:ascii="Times New Roman" w:hAnsi="Times New Roman"/>
          <w:b/>
          <w:sz w:val="24"/>
        </w:rPr>
        <w:t>Control Administrativo</w:t>
      </w:r>
      <w:bookmarkEnd w:id="36"/>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pStyle w:val="IUTECPTítulo2"/>
        <w:keepNext/>
        <w:keepLines/>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pStyle w:val="IUTECPTítulo2"/>
        <w:keepNext/>
        <w:keepLines/>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pStyle w:val="IUTECPTítulo2"/>
        <w:keepNext/>
        <w:keepLines/>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En el contexto de estas pasantías, la calidad del servicio se relaciona directamente con la capacidad administrativa de IDETEL para responder y dar seguimiento oportuno a las solicitudes del suscriptor.</w:t>
      </w:r>
    </w:p>
    <w:p>
      <w:pPr>
        <w:pStyle w:val="IUTECPTítulo2"/>
        <w:keepNext/>
        <w:keepLines/>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pStyle w:val="IUTECPTítulo2"/>
        <w:keepNext/>
        <w:keepLines/>
        <w:spacing w:before="240" w:after="24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pStyle w:val="IUTECPTítulo2"/>
        <w:keepNext/>
        <w:keepLines/>
        <w:spacing w:before="240" w:after="24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relacionado con la necesidad de conservar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footerReference w:type="default" r:id="rId49"/>
          <w:footerReference w:type="first" r:id="rId50"/>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7" w:name="bm_cap4"/>
      <w:pPr>
        <w:pStyle w:val="IUTECPCapítulo"/>
        <w:spacing w:before="480"/>
        <w:jc w:val="center"/>
      </w:pPr>
      <w:r>
        <w:rPr>
          <w:rFonts w:ascii="Times New Roman" w:hAnsi="Times New Roman"/>
          <w:b/>
          <w:sz w:val="24"/>
        </w:rPr>
        <w:t>ACTIVIDADES REALIZADAS</w:t>
      </w:r>
      <w:bookmarkEnd w:id="37"/>
    </w:p>
    <w:p>
      <w:bookmarkStart w:id="38"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8"/>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I:</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formatos estandarizados para afiliaciones e incidencias y redacción del procedimiento de control que acompaña al flujo propuesto.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y validación de la propuesta de mejora con el tutor industrial, incorporación de observaciones y preparación del flujograma definitivo del proceso propuesto.</w:t>
      </w:r>
    </w:p>
    <w:p>
      <w:pPr>
        <w:pStyle w:val="IUTECPTítulo2"/>
        <w:keepNext/>
        <w:keepLines/>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51"/>
          <w:footerReference w:type="first" r:id="rId52"/>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39" w:name="bm_cap5"/>
      <w:pPr>
        <w:pStyle w:val="IUTECPCapítulo"/>
        <w:spacing w:before="480"/>
        <w:jc w:val="center"/>
      </w:pPr>
      <w:r>
        <w:rPr>
          <w:rFonts w:ascii="Times New Roman" w:hAnsi="Times New Roman"/>
          <w:b/>
          <w:sz w:val="24"/>
        </w:rPr>
        <w:t>CONCLUSIONES Y RECOMENDACIONES</w:t>
      </w:r>
      <w:bookmarkEnd w:id="39"/>
    </w:p>
    <w:p>
      <w:bookmarkStart w:id="40" w:name="bm_cap5_concl"/>
      <w:pPr>
        <w:pStyle w:val="IUTECPTítulo2"/>
        <w:keepNext/>
        <w:keepLines/>
        <w:spacing w:before="480" w:after="480" w:line="360" w:lineRule="auto"/>
        <w:jc w:val="left"/>
      </w:pPr>
      <w:r>
        <w:rPr>
          <w:rFonts w:ascii="Times New Roman" w:hAnsi="Times New Roman"/>
          <w:b/>
          <w:sz w:val="24"/>
        </w:rPr>
        <w:t>Conclusiones</w:t>
      </w:r>
      <w:bookmarkEnd w:id="40"/>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bookmarkStart w:id="41" w:name="bm_cap5_recom"/>
      <w:pPr>
        <w:pStyle w:val="IUTECPTítulo2"/>
        <w:keepNext/>
        <w:keepLines/>
        <w:spacing w:before="480" w:after="480" w:line="360" w:lineRule="auto"/>
        <w:jc w:val="left"/>
      </w:pPr>
      <w:r>
        <w:rPr>
          <w:rFonts w:ascii="Times New Roman" w:hAnsi="Times New Roman"/>
          <w:b/>
          <w:sz w:val="24"/>
        </w:rPr>
        <w:t>Recomendaciones</w:t>
      </w:r>
      <w:bookmarkEnd w:id="41"/>
    </w:p>
    <w:p>
      <w:pPr>
        <w:keepNext/>
        <w:spacing w:before="240" w:after="0"/>
      </w:pPr>
      <w:r>
        <w:rPr>
          <w:rFonts w:ascii="Times New Roman" w:hAnsi="Times New Roman"/>
          <w:b/>
          <w:sz w:val="24"/>
        </w:rPr>
        <w:t>A la empresa Ingeniería de Telecomunicaciones, C.A.</w:t>
      </w:r>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keepNext/>
        <w:spacing w:before="240" w:after="0"/>
      </w:pPr>
      <w:r>
        <w:rPr>
          <w:rFonts w:ascii="Times New Roman" w:hAnsi="Times New Roman"/>
          <w:b/>
          <w:sz w:val="24"/>
        </w:rPr>
        <w:t>Al Instituto Universitario de Tecnología “Elías Calixto Pompa” (IUTECP).</w:t>
      </w:r>
    </w:p>
    <w:p>
      <w:pPr>
        <w:spacing w:line="360" w:lineRule="auto"/>
        <w:ind w:firstLine="709"/>
        <w:jc w:val="both"/>
      </w:pPr>
      <w:r>
        <w:rPr>
          <w:rFonts w:ascii="Times New Roman" w:hAnsi="Times New Roman"/>
          <w:sz w:val="24"/>
        </w:rPr>
        <w:t xml:space="preserve">1. </w:t>
      </w:r>
      <w:r>
        <w:rPr>
          <w:rFonts w:ascii="Times New Roman" w:hAnsi="Times New Roman"/>
          <w:sz w:val="24"/>
        </w:rPr>
        <w:t>Continuar fortaleciendo el acompañamiento académico durante las pasantías y la articulación entre los conocimientos adquiridos en la carrera y las situaciones administrativas observadas en las empresas.</w:t>
      </w:r>
    </w:p>
    <w:p>
      <w:pPr>
        <w:keepNext/>
        <w:spacing w:before="240" w:after="0"/>
      </w:pPr>
      <w:r>
        <w:rPr>
          <w:rFonts w:ascii="Times New Roman" w:hAnsi="Times New Roman"/>
          <w:b/>
          <w:sz w:val="24"/>
        </w:rPr>
        <w:t>A futuros pasantes.</w:t>
      </w:r>
    </w:p>
    <w:p>
      <w:pPr>
        <w:spacing w:line="360" w:lineRule="auto"/>
        <w:ind w:firstLine="709"/>
        <w:jc w:val="both"/>
      </w:pPr>
      <w:r>
        <w:rPr>
          <w:rFonts w:ascii="Times New Roman" w:hAnsi="Times New Roman"/>
          <w:sz w:val="24"/>
        </w:rPr>
        <w:t xml:space="preserve">1. </w:t>
      </w:r>
      <w:r>
        <w:rPr>
          <w:rFonts w:ascii="Times New Roman" w:hAnsi="Times New Roman"/>
          <w:sz w:val="24"/>
        </w:rPr>
        <w:t>Llevar un registro sistemático de las actividades desde las primeras semanas, observar los procesos administrativos, conservar las evidencias pertinentes y relacionar las tareas realizadas con los objetivos establecidos en el informe.</w:t>
      </w:r>
    </w:p>
    <w:p>
      <w:pPr>
        <w:sectPr>
          <w:footerReference w:type="default" r:id="rId53"/>
          <w:footerReference w:type="first" r:id="rId54"/>
          <w:pgSz w:w="12240" w:h="15840"/>
          <w:pgMar w:top="1701" w:right="1701" w:bottom="1701" w:left="2268" w:header="720" w:footer="720" w:gutter="0"/>
          <w:cols w:space="720"/>
          <w:titlePg/>
          <w:docGrid w:linePitch="360"/>
          <w:pgNumType w:fmt="decimal"/>
        </w:sectPr>
      </w:pPr>
    </w:p>
    <w:p>
      <w:bookmarkStart w:id="42" w:name="bm_referencias"/>
      <w:pPr>
        <w:pStyle w:val="IUTECPPreliminar"/>
        <w:keepNext/>
        <w:keepLines/>
        <w:spacing w:before="1140" w:after="480"/>
        <w:jc w:val="center"/>
      </w:pPr>
      <w:r>
        <w:rPr>
          <w:rFonts w:ascii="Times New Roman" w:hAnsi="Times New Roman"/>
          <w:b/>
          <w:sz w:val="24"/>
        </w:rPr>
        <w:t>REFERENCIAS</w:t>
      </w:r>
      <w:bookmarkEnd w:id="42"/>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55"/>
          <w:footerReference w:type="first" r:id="rId56"/>
          <w:pgSz w:w="12240" w:h="15840"/>
          <w:pgMar w:top="1701" w:right="1701" w:bottom="1701" w:left="2268" w:header="720" w:footer="720" w:gutter="0"/>
          <w:cols w:space="720"/>
          <w:titlePg/>
          <w:docGrid w:linePitch="360"/>
          <w:pgNumType w:fmt="decimal"/>
        </w:sectPr>
      </w:pPr>
    </w:p>
    <w:p>
      <w:bookmarkStart w:id="43" w:name="bm_anexos"/>
      <w:pPr>
        <w:spacing w:before="6075"/>
        <w:jc w:val="center"/>
      </w:pPr>
      <w:r>
        <w:rPr>
          <w:rFonts w:ascii="Times New Roman" w:hAnsi="Times New Roman"/>
          <w:b/>
          <w:sz w:val="24"/>
        </w:rPr>
        <w:t>ANEXOS</w:t>
      </w:r>
      <w:bookmarkEnd w:id="43"/>
    </w:p>
    <w:p>
      <w:pPr>
        <w:sectPr>
          <w:footerReference w:type="default" r:id="rId57"/>
          <w:pgSz w:w="12240" w:h="15840"/>
          <w:pgMar w:top="1701" w:right="1701" w:bottom="1701" w:left="2268" w:header="720" w:footer="720" w:gutter="0"/>
          <w:cols w:space="720"/>
          <w:docGrid w:linePitch="360"/>
          <w:pgNumType w:fmt="decimal"/>
        </w:sectPr>
      </w:pPr>
    </w:p>
    <w:p>
      <w:bookmarkStart w:id="44" w:name="bm_anexoA"/>
      <w:pPr>
        <w:keepNext/>
        <w:keepLines/>
        <w:spacing w:before="0" w:after="480"/>
        <w:jc w:val="center"/>
      </w:pPr>
      <w:bookmarkEnd w:id="44"/>
      <w:r>
        <w:rPr>
          <w:rFonts w:ascii="Times New Roman" w:hAnsi="Times New Roman"/>
          <w:b/>
          <w:sz w:val="20"/>
        </w:rPr>
        <w:t>ANEXO A</w:t>
      </w:r>
    </w:p>
    <w:p>
      <w:pPr>
        <w:keepNext/>
        <w:keepLines/>
        <w:spacing w:before="240" w:after="480"/>
        <w:jc w:val="center"/>
      </w:pPr>
      <w:r>
        <w:rPr>
          <w:rFonts w:ascii="Times New Roman" w:hAnsi="Times New Roman"/>
          <w:b/>
          <w:sz w:val="20"/>
        </w:rPr>
        <w:t>[Flujograma del proceso propuesto de gestión de solicitudes de servicios]</w:t>
      </w:r>
    </w:p>
    <w:p>
      <w:pPr>
        <w:keepNext/>
        <w:keepLines/>
        <w:jc w:val="center"/>
      </w:pPr>
      <w:r>
        <w:drawing>
          <wp:inline xmlns:a="http://schemas.openxmlformats.org/drawingml/2006/main" xmlns:pic="http://schemas.openxmlformats.org/drawingml/2006/picture">
            <wp:extent cx="1065395" cy="4860000"/>
            <wp:docPr id="8" name="Picture 8"/>
            <wp:cNvGraphicFramePr>
              <a:graphicFrameLocks noChangeAspect="1"/>
            </wp:cNvGraphicFramePr>
            <a:graphic>
              <a:graphicData uri="http://schemas.openxmlformats.org/drawingml/2006/picture">
                <pic:pic>
                  <pic:nvPicPr>
                    <pic:cNvPr id="0" name="4.png"/>
                    <pic:cNvPicPr/>
                  </pic:nvPicPr>
                  <pic:blipFill>
                    <a:blip r:embed="rId16"/>
                    <a:stretch>
                      <a:fillRect/>
                    </a:stretch>
                  </pic:blipFill>
                  <pic:spPr>
                    <a:xfrm>
                      <a:off x="0" y="0"/>
                      <a:ext cx="1065395" cy="486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8"/>
          <w:pgSz w:w="12240" w:h="15840"/>
          <w:pgMar w:top="1701" w:right="1701" w:bottom="1701" w:left="2268" w:header="720" w:footer="720" w:gutter="0"/>
          <w:cols w:space="720"/>
          <w:docGrid w:linePitch="360"/>
          <w:pgNumType w:fmt="decimal"/>
        </w:sectPr>
      </w:pPr>
    </w:p>
    <w:p>
      <w:bookmarkStart w:id="45" w:name="bm_anexoB"/>
      <w:pPr>
        <w:keepNext/>
        <w:keepLines/>
        <w:spacing w:before="0" w:after="480"/>
        <w:jc w:val="center"/>
      </w:pPr>
      <w:bookmarkEnd w:id="45"/>
      <w:r>
        <w:rPr>
          <w:rFonts w:ascii="Times New Roman" w:hAnsi="Times New Roman"/>
          <w:b/>
          <w:sz w:val="20"/>
        </w:rPr>
        <w:t>ANEXO B</w:t>
      </w:r>
    </w:p>
    <w:p>
      <w:pPr>
        <w:keepNext/>
        <w:keepLines/>
        <w:spacing w:before="240" w:after="480"/>
        <w:jc w:val="center"/>
      </w:pPr>
      <w:r>
        <w:rPr>
          <w:rFonts w:ascii="Times New Roman" w:hAnsi="Times New Roman"/>
          <w:b/>
          <w:sz w:val="20"/>
        </w:rPr>
        <w:t>[Diagrama de Ishikawa del control de solicitudes]</w:t>
      </w:r>
    </w:p>
    <w:p>
      <w:pPr>
        <w:keepNext/>
        <w:keepLines/>
        <w:jc w:val="center"/>
      </w:pPr>
      <w:r>
        <w:drawing>
          <wp:inline xmlns:a="http://schemas.openxmlformats.org/drawingml/2006/main" xmlns:pic="http://schemas.openxmlformats.org/drawingml/2006/picture">
            <wp:extent cx="4679999" cy="1208317"/>
            <wp:docPr id="9" name="Picture 9"/>
            <wp:cNvGraphicFramePr>
              <a:graphicFrameLocks noChangeAspect="1"/>
            </wp:cNvGraphicFramePr>
            <a:graphic>
              <a:graphicData uri="http://schemas.openxmlformats.org/drawingml/2006/picture">
                <pic:pic>
                  <pic:nvPicPr>
                    <pic:cNvPr id="0" name="01_ishikawa_control_solicitudes.png"/>
                    <pic:cNvPicPr/>
                  </pic:nvPicPr>
                  <pic:blipFill>
                    <a:blip r:embed="rId17"/>
                    <a:stretch>
                      <a:fillRect/>
                    </a:stretch>
                  </pic:blipFill>
                  <pic:spPr>
                    <a:xfrm>
                      <a:off x="0" y="0"/>
                      <a:ext cx="4679999" cy="120831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9"/>
          <w:pgSz w:w="12240" w:h="15840"/>
          <w:pgMar w:top="1701" w:right="1701" w:bottom="1701" w:left="2268" w:header="720" w:footer="720" w:gutter="0"/>
          <w:cols w:space="720"/>
          <w:docGrid w:linePitch="360"/>
          <w:pgNumType w:fmt="decimal"/>
        </w:sectPr>
      </w:pPr>
    </w:p>
    <w:p>
      <w:bookmarkStart w:id="46" w:name="bm_anexoC"/>
      <w:pPr>
        <w:keepNext/>
        <w:keepLines/>
        <w:spacing w:before="0" w:after="480"/>
        <w:jc w:val="center"/>
      </w:pPr>
      <w:bookmarkEnd w:id="46"/>
      <w:r>
        <w:rPr>
          <w:rFonts w:ascii="Times New Roman" w:hAnsi="Times New Roman"/>
          <w:b/>
          <w:sz w:val="20"/>
        </w:rPr>
        <w:t>ANEXO C</w:t>
      </w:r>
    </w:p>
    <w:p>
      <w:pPr>
        <w:keepNext/>
        <w:keepLines/>
        <w:spacing w:before="240" w:after="480"/>
        <w:jc w:val="center"/>
      </w:pPr>
      <w:r>
        <w:rPr>
          <w:rFonts w:ascii="Times New Roman" w:hAnsi="Times New Roman"/>
          <w:b/>
          <w:sz w:val="20"/>
        </w:rPr>
        <w:t>[Flujograma AS-IS de afiliaciones e incidencias]</w:t>
      </w:r>
    </w:p>
    <w:p>
      <w:pPr>
        <w:keepNext/>
        <w:keepLines/>
        <w:jc w:val="center"/>
      </w:pPr>
      <w:r>
        <w:drawing>
          <wp:inline xmlns:a="http://schemas.openxmlformats.org/drawingml/2006/main" xmlns:pic="http://schemas.openxmlformats.org/drawingml/2006/picture">
            <wp:extent cx="2550866" cy="5400000"/>
            <wp:docPr id="10" name="Picture 10"/>
            <wp:cNvGraphicFramePr>
              <a:graphicFrameLocks noChangeAspect="1"/>
            </wp:cNvGraphicFramePr>
            <a:graphic>
              <a:graphicData uri="http://schemas.openxmlformats.org/drawingml/2006/picture">
                <pic:pic>
                  <pic:nvPicPr>
                    <pic:cNvPr id="0" name="02_flujo_as_is_solicitudes.png"/>
                    <pic:cNvPicPr/>
                  </pic:nvPicPr>
                  <pic:blipFill>
                    <a:blip r:embed="rId18"/>
                    <a:stretch>
                      <a:fillRect/>
                    </a:stretch>
                  </pic:blipFill>
                  <pic:spPr>
                    <a:xfrm>
                      <a:off x="0" y="0"/>
                      <a:ext cx="2550866"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0"/>
          <w:pgSz w:w="12240" w:h="15840"/>
          <w:pgMar w:top="1701" w:right="1701" w:bottom="1701" w:left="2268" w:header="720" w:footer="720" w:gutter="0"/>
          <w:cols w:space="720"/>
          <w:docGrid w:linePitch="360"/>
          <w:pgNumType w:fmt="decimal"/>
        </w:sectPr>
      </w:pPr>
    </w:p>
    <w:p>
      <w:bookmarkStart w:id="47" w:name="bm_anexoD"/>
      <w:pPr>
        <w:keepNext/>
        <w:keepLines/>
        <w:spacing w:before="0" w:after="480"/>
        <w:jc w:val="center"/>
      </w:pPr>
      <w:bookmarkEnd w:id="47"/>
      <w:r>
        <w:rPr>
          <w:rFonts w:ascii="Times New Roman" w:hAnsi="Times New Roman"/>
          <w:b/>
          <w:sz w:val="20"/>
        </w:rPr>
        <w:t>ANEXO D</w:t>
      </w:r>
    </w:p>
    <w:p>
      <w:pPr>
        <w:keepNext/>
        <w:keepLines/>
        <w:spacing w:before="240" w:after="480"/>
        <w:jc w:val="center"/>
      </w:pPr>
      <w:r>
        <w:rPr>
          <w:rFonts w:ascii="Times New Roman" w:hAnsi="Times New Roman"/>
          <w:b/>
          <w:sz w:val="20"/>
        </w:rPr>
        <w:t>[Swimlane interdepartamental de gestión de solicitudes]</w:t>
      </w:r>
    </w:p>
    <w:p>
      <w:pPr>
        <w:keepNext/>
        <w:keepLines/>
        <w:jc w:val="center"/>
      </w:pPr>
      <w:r>
        <w:drawing>
          <wp:inline xmlns:a="http://schemas.openxmlformats.org/drawingml/2006/main" xmlns:pic="http://schemas.openxmlformats.org/drawingml/2006/picture">
            <wp:extent cx="5040000" cy="2942538"/>
            <wp:docPr id="11" name="Picture 11"/>
            <wp:cNvGraphicFramePr>
              <a:graphicFrameLocks noChangeAspect="1"/>
            </wp:cNvGraphicFramePr>
            <a:graphic>
              <a:graphicData uri="http://schemas.openxmlformats.org/drawingml/2006/picture">
                <pic:pic>
                  <pic:nvPicPr>
                    <pic:cNvPr id="0" name="04_swimlane_gestion_solicitudes.png"/>
                    <pic:cNvPicPr/>
                  </pic:nvPicPr>
                  <pic:blipFill>
                    <a:blip r:embed="rId19"/>
                    <a:stretch>
                      <a:fillRect/>
                    </a:stretch>
                  </pic:blipFill>
                  <pic:spPr>
                    <a:xfrm>
                      <a:off x="0" y="0"/>
                      <a:ext cx="5040000" cy="2942538"/>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1"/>
          <w:pgSz w:w="12240" w:h="15840"/>
          <w:pgMar w:top="1701" w:right="1701" w:bottom="1701" w:left="2268" w:header="720" w:footer="720" w:gutter="0"/>
          <w:cols w:space="720"/>
          <w:docGrid w:linePitch="360"/>
          <w:pgNumType w:fmt="decimal"/>
        </w:sectPr>
      </w:pPr>
    </w:p>
    <w:p>
      <w:bookmarkStart w:id="48" w:name="bm_anexoE"/>
      <w:pPr>
        <w:keepNext/>
        <w:keepLines/>
        <w:spacing w:before="0" w:after="480"/>
        <w:jc w:val="center"/>
      </w:pPr>
      <w:bookmarkEnd w:id="48"/>
      <w:r>
        <w:rPr>
          <w:rFonts w:ascii="Times New Roman" w:hAnsi="Times New Roman"/>
          <w:b/>
          <w:sz w:val="20"/>
        </w:rPr>
        <w:t>ANEXO E</w:t>
      </w:r>
    </w:p>
    <w:p>
      <w:pPr>
        <w:keepNext/>
        <w:keepLines/>
        <w:spacing w:before="240" w:after="480"/>
        <w:jc w:val="center"/>
      </w:pPr>
      <w:r>
        <w:rPr>
          <w:rFonts w:ascii="Times New Roman" w:hAnsi="Times New Roman"/>
          <w:b/>
          <w:sz w:val="20"/>
        </w:rPr>
        <w:t>[Estados de una solicitud de servicio]</w:t>
      </w:r>
    </w:p>
    <w:p>
      <w:pPr>
        <w:keepNext/>
        <w:keepLines/>
        <w:jc w:val="center"/>
      </w:pPr>
      <w:r>
        <w:drawing>
          <wp:inline xmlns:a="http://schemas.openxmlformats.org/drawingml/2006/main" xmlns:pic="http://schemas.openxmlformats.org/drawingml/2006/picture">
            <wp:extent cx="4680000" cy="2220000"/>
            <wp:docPr id="12" name="Picture 12"/>
            <wp:cNvGraphicFramePr>
              <a:graphicFrameLocks noChangeAspect="1"/>
            </wp:cNvGraphicFramePr>
            <a:graphic>
              <a:graphicData uri="http://schemas.openxmlformats.org/drawingml/2006/picture">
                <pic:pic>
                  <pic:nvPicPr>
                    <pic:cNvPr id="0" name="05_estados_solicitud.png"/>
                    <pic:cNvPicPr/>
                  </pic:nvPicPr>
                  <pic:blipFill>
                    <a:blip r:embed="rId20"/>
                    <a:stretch>
                      <a:fillRect/>
                    </a:stretch>
                  </pic:blipFill>
                  <pic:spPr>
                    <a:xfrm>
                      <a:off x="0" y="0"/>
                      <a:ext cx="4680000" cy="222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2"/>
          <w:pgSz w:w="12240" w:h="15840"/>
          <w:pgMar w:top="1701" w:right="1701" w:bottom="1701" w:left="2268" w:header="720" w:footer="720" w:gutter="0"/>
          <w:cols w:space="720"/>
          <w:docGrid w:linePitch="360"/>
          <w:pgNumType w:fmt="decimal"/>
        </w:sectPr>
      </w:pPr>
    </w:p>
    <w:p>
      <w:bookmarkStart w:id="49" w:name="bm_anexoF"/>
      <w:pPr>
        <w:keepNext/>
        <w:keepLines/>
        <w:spacing w:before="0" w:after="480"/>
        <w:jc w:val="center"/>
      </w:pPr>
      <w:bookmarkEnd w:id="49"/>
      <w:r>
        <w:rPr>
          <w:rFonts w:ascii="Times New Roman" w:hAnsi="Times New Roman"/>
          <w:b/>
          <w:sz w:val="20"/>
        </w:rPr>
        <w:t>ANEXO F</w:t>
      </w:r>
    </w:p>
    <w:p>
      <w:pPr>
        <w:keepNext/>
        <w:keepLines/>
        <w:spacing w:before="240" w:after="480"/>
        <w:jc w:val="center"/>
      </w:pPr>
      <w:r>
        <w:rPr>
          <w:rFonts w:ascii="Times New Roman" w:hAnsi="Times New Roman"/>
          <w:b/>
          <w:sz w:val="20"/>
        </w:rPr>
        <w:t>[Comunicación interdepartamental]</w:t>
      </w:r>
    </w:p>
    <w:p>
      <w:pPr>
        <w:keepNext/>
        <w:keepLines/>
        <w:jc w:val="center"/>
      </w:pPr>
      <w:r>
        <w:drawing>
          <wp:inline xmlns:a="http://schemas.openxmlformats.org/drawingml/2006/main" xmlns:pic="http://schemas.openxmlformats.org/drawingml/2006/picture">
            <wp:extent cx="3652060" cy="4680000"/>
            <wp:docPr id="13" name="Picture 13"/>
            <wp:cNvGraphicFramePr>
              <a:graphicFrameLocks noChangeAspect="1"/>
            </wp:cNvGraphicFramePr>
            <a:graphic>
              <a:graphicData uri="http://schemas.openxmlformats.org/drawingml/2006/picture">
                <pic:pic>
                  <pic:nvPicPr>
                    <pic:cNvPr id="0" name="10_comunicacion_interdepartamental.png"/>
                    <pic:cNvPicPr/>
                  </pic:nvPicPr>
                  <pic:blipFill>
                    <a:blip r:embed="rId21"/>
                    <a:stretch>
                      <a:fillRect/>
                    </a:stretch>
                  </pic:blipFill>
                  <pic:spPr>
                    <a:xfrm>
                      <a:off x="0" y="0"/>
                      <a:ext cx="365206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3"/>
          <w:pgSz w:w="12240" w:h="15840"/>
          <w:pgMar w:top="1701" w:right="1701" w:bottom="1701" w:left="2268" w:header="720" w:footer="720" w:gutter="0"/>
          <w:cols w:space="720"/>
          <w:docGrid w:linePitch="360"/>
          <w:pgNumType w:fmt="decimal"/>
        </w:sectPr>
      </w:pPr>
    </w:p>
    <w:p>
      <w:bookmarkStart w:id="50" w:name="bm_anexoG"/>
      <w:pPr>
        <w:keepNext/>
        <w:keepLines/>
        <w:spacing w:before="0" w:after="480"/>
        <w:jc w:val="center"/>
      </w:pPr>
      <w:bookmarkEnd w:id="50"/>
      <w:r>
        <w:rPr>
          <w:rFonts w:ascii="Times New Roman" w:hAnsi="Times New Roman"/>
          <w:b/>
          <w:sz w:val="20"/>
        </w:rPr>
        <w:t>ANEXO G</w:t>
      </w:r>
    </w:p>
    <w:p>
      <w:pPr>
        <w:keepNext/>
        <w:keepLines/>
        <w:spacing w:before="240" w:after="480"/>
        <w:jc w:val="center"/>
      </w:pPr>
      <w:r>
        <w:rPr>
          <w:rFonts w:ascii="Times New Roman" w:hAnsi="Times New Roman"/>
          <w:b/>
          <w:sz w:val="20"/>
        </w:rPr>
        <w:t>[Comparación AS-IS y TO-BE del control de solicitudes]</w:t>
      </w:r>
    </w:p>
    <w:p>
      <w:pPr>
        <w:keepNext/>
        <w:keepLines/>
        <w:jc w:val="center"/>
      </w:pPr>
      <w:r>
        <w:drawing>
          <wp:inline xmlns:a="http://schemas.openxmlformats.org/drawingml/2006/main" xmlns:pic="http://schemas.openxmlformats.org/drawingml/2006/picture">
            <wp:extent cx="4680000" cy="4680000"/>
            <wp:docPr id="14" name="Picture 14"/>
            <wp:cNvGraphicFramePr>
              <a:graphicFrameLocks noChangeAspect="1"/>
            </wp:cNvGraphicFramePr>
            <a:graphic>
              <a:graphicData uri="http://schemas.openxmlformats.org/drawingml/2006/picture">
                <pic:pic>
                  <pic:nvPicPr>
                    <pic:cNvPr id="0" name="11_comparacion_as_is_to_be.png"/>
                    <pic:cNvPicPr/>
                  </pic:nvPicPr>
                  <pic:blipFill>
                    <a:blip r:embed="rId22"/>
                    <a:stretch>
                      <a:fillRect/>
                    </a:stretch>
                  </pic:blipFill>
                  <pic:spPr>
                    <a:xfrm>
                      <a:off x="0" y="0"/>
                      <a:ext cx="468000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4"/>
          <w:pgSz w:w="12240" w:h="15840"/>
          <w:pgMar w:top="1701" w:right="1701" w:bottom="1701" w:left="2268" w:header="720" w:footer="720" w:gutter="0"/>
          <w:cols w:space="720"/>
          <w:docGrid w:linePitch="360"/>
          <w:pgNumType w:fmt="decimal"/>
        </w:sectPr>
      </w:pPr>
    </w:p>
    <w:p>
      <w:bookmarkStart w:id="51" w:name="bm_anexoH"/>
      <w:pPr>
        <w:keepNext/>
        <w:keepLines/>
        <w:spacing w:before="0" w:after="480"/>
        <w:jc w:val="center"/>
      </w:pPr>
      <w:bookmarkEnd w:id="51"/>
      <w:r>
        <w:rPr>
          <w:rFonts w:ascii="Times New Roman" w:hAnsi="Times New Roman"/>
          <w:b/>
          <w:sz w:val="20"/>
        </w:rPr>
        <w:t>ANEXO H</w:t>
      </w:r>
    </w:p>
    <w:p>
      <w:pPr>
        <w:keepNext/>
        <w:keepLines/>
        <w:spacing w:before="240" w:after="480"/>
        <w:jc w:val="center"/>
      </w:pPr>
      <w:r>
        <w:rPr>
          <w:rFonts w:ascii="Times New Roman" w:hAnsi="Times New Roman"/>
          <w:b/>
          <w:sz w:val="20"/>
        </w:rPr>
        <w:t>[Diagrama de Ishikawa del control y trazabilidad de las solicitudes de servicio]</w:t>
      </w:r>
    </w:p>
    <w:p>
      <w:pPr>
        <w:keepNext/>
        <w:keepLines/>
        <w:jc w:val="center"/>
      </w:pPr>
      <w:r>
        <w:drawing>
          <wp:inline xmlns:a="http://schemas.openxmlformats.org/drawingml/2006/main" xmlns:pic="http://schemas.openxmlformats.org/drawingml/2006/picture">
            <wp:extent cx="4680000" cy="4264486"/>
            <wp:docPr id="15" name="Picture 15"/>
            <wp:cNvGraphicFramePr>
              <a:graphicFrameLocks noChangeAspect="1"/>
            </wp:cNvGraphicFramePr>
            <a:graphic>
              <a:graphicData uri="http://schemas.openxmlformats.org/drawingml/2006/picture">
                <pic:pic>
                  <pic:nvPicPr>
                    <pic:cNvPr id="0" name="ishikawa_amaal_solicitudes.png"/>
                    <pic:cNvPicPr/>
                  </pic:nvPicPr>
                  <pic:blipFill>
                    <a:blip r:embed="rId23"/>
                    <a:stretch>
                      <a:fillRect/>
                    </a:stretch>
                  </pic:blipFill>
                  <pic:spPr>
                    <a:xfrm>
                      <a:off x="0" y="0"/>
                      <a:ext cx="4680000" cy="42644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5"/>
          <w:pgSz w:w="12240" w:h="15840"/>
          <w:pgMar w:top="1701" w:right="1701" w:bottom="1701" w:left="2268" w:header="720" w:footer="720" w:gutter="0"/>
          <w:cols w:space="720"/>
          <w:docGrid w:linePitch="360"/>
          <w:pgNumType w:fmt="decimal"/>
        </w:sectPr>
      </w:pPr>
    </w:p>
    <w:p>
      <w:bookmarkStart w:id="52" w:name="bm_anexoI"/>
      <w:pPr>
        <w:keepNext/>
        <w:keepLines/>
        <w:spacing w:before="0" w:after="480"/>
        <w:jc w:val="center"/>
      </w:pPr>
      <w:bookmarkEnd w:id="52"/>
      <w:r>
        <w:rPr>
          <w:rFonts w:ascii="Times New Roman" w:hAnsi="Times New Roman"/>
          <w:b/>
          <w:sz w:val="20"/>
        </w:rPr>
        <w:t>ANEXO I</w:t>
      </w:r>
    </w:p>
    <w:p>
      <w:pPr>
        <w:keepNext/>
        <w:keepLines/>
        <w:spacing w:before="240" w:after="480"/>
        <w:jc w:val="center"/>
      </w:pPr>
      <w:r>
        <w:rPr>
          <w:rFonts w:ascii="Times New Roman" w:hAnsi="Times New Roman"/>
          <w:b/>
          <w:sz w:val="20"/>
        </w:rPr>
        <w:t>[Memoria fotográfica de las actividades realizadas]</w:t>
      </w:r>
    </w:p>
    <w:p>
      <w:pPr>
        <w:keepNext/>
        <w:keepLines/>
        <w:jc w:val="center"/>
      </w:pPr>
      <w:r>
        <w:drawing>
          <wp:inline xmlns:a="http://schemas.openxmlformats.org/drawingml/2006/main" xmlns:pic="http://schemas.openxmlformats.org/drawingml/2006/picture">
            <wp:extent cx="4860000" cy="3645000"/>
            <wp:docPr id="16" name="Picture 16"/>
            <wp:cNvGraphicFramePr>
              <a:graphicFrameLocks noChangeAspect="1"/>
            </wp:cNvGraphicFramePr>
            <a:graphic>
              <a:graphicData uri="http://schemas.openxmlformats.org/drawingml/2006/picture">
                <pic:pic>
                  <pic:nvPicPr>
                    <pic:cNvPr id="0" name="IMG-20260818-WA0007.jpg"/>
                    <pic:cNvPicPr/>
                  </pic:nvPicPr>
                  <pic:blipFill>
                    <a:blip r:embed="rId24"/>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1. Registro de actividades administrativas frente al equipo de trabajo.</w:t>
      </w:r>
    </w:p>
    <w:p>
      <w:pPr>
        <w:keepNext/>
        <w:keepLines/>
        <w:pageBreakBefore/>
        <w:jc w:val="center"/>
      </w:pPr>
      <w:r>
        <w:drawing>
          <wp:inline xmlns:a="http://schemas.openxmlformats.org/drawingml/2006/main" xmlns:pic="http://schemas.openxmlformats.org/drawingml/2006/picture">
            <wp:extent cx="4860000" cy="3645000"/>
            <wp:docPr id="17" name="Picture 17"/>
            <wp:cNvGraphicFramePr>
              <a:graphicFrameLocks noChangeAspect="1"/>
            </wp:cNvGraphicFramePr>
            <a:graphic>
              <a:graphicData uri="http://schemas.openxmlformats.org/drawingml/2006/picture">
                <pic:pic>
                  <pic:nvPicPr>
                    <pic:cNvPr id="0" name="IMG-20260818-WA0008.jpg"/>
                    <pic:cNvPicPr/>
                  </pic:nvPicPr>
                  <pic:blipFill>
                    <a:blip r:embed="rId25"/>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2. Vista general del espacio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18" name="Picture 18"/>
            <wp:cNvGraphicFramePr>
              <a:graphicFrameLocks noChangeAspect="1"/>
            </wp:cNvGraphicFramePr>
            <a:graphic>
              <a:graphicData uri="http://schemas.openxmlformats.org/drawingml/2006/picture">
                <pic:pic>
                  <pic:nvPicPr>
                    <pic:cNvPr id="0" name="IMG-20260818-WA0009.jpg"/>
                    <pic:cNvPicPr/>
                  </pic:nvPicPr>
                  <pic:blipFill>
                    <a:blip r:embed="rId26"/>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3. Verificación de información en los registros administrativos del área.</w:t>
      </w:r>
    </w:p>
    <w:p>
      <w:pPr>
        <w:keepNext/>
        <w:keepLines/>
        <w:pageBreakBefore/>
        <w:jc w:val="center"/>
      </w:pPr>
      <w:r>
        <w:drawing>
          <wp:inline xmlns:a="http://schemas.openxmlformats.org/drawingml/2006/main" xmlns:pic="http://schemas.openxmlformats.org/drawingml/2006/picture">
            <wp:extent cx="4860000" cy="3645000"/>
            <wp:docPr id="19" name="Picture 19"/>
            <wp:cNvGraphicFramePr>
              <a:graphicFrameLocks noChangeAspect="1"/>
            </wp:cNvGraphicFramePr>
            <a:graphic>
              <a:graphicData uri="http://schemas.openxmlformats.org/drawingml/2006/picture">
                <pic:pic>
                  <pic:nvPicPr>
                    <pic:cNvPr id="0" name="IMG-20260818-WA0010.jpg"/>
                    <pic:cNvPicPr/>
                  </pic:nvPicPr>
                  <pic:blipFill>
                    <a:blip r:embed="rId27"/>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4. Puesto de trabajo utilizado para la gestión de información administrativa.</w:t>
      </w:r>
    </w:p>
    <w:p>
      <w:pPr>
        <w:keepNext/>
        <w:keepLines/>
        <w:pageBreakBefore/>
        <w:jc w:val="center"/>
      </w:pPr>
      <w:r>
        <w:drawing>
          <wp:inline xmlns:a="http://schemas.openxmlformats.org/drawingml/2006/main" xmlns:pic="http://schemas.openxmlformats.org/drawingml/2006/picture">
            <wp:extent cx="3780000" cy="5040000"/>
            <wp:docPr id="20" name="Picture 20"/>
            <wp:cNvGraphicFramePr>
              <a:graphicFrameLocks noChangeAspect="1"/>
            </wp:cNvGraphicFramePr>
            <a:graphic>
              <a:graphicData uri="http://schemas.openxmlformats.org/drawingml/2006/picture">
                <pic:pic>
                  <pic:nvPicPr>
                    <pic:cNvPr id="0" name="IMG-20260818-WA0011.jpg"/>
                    <pic:cNvPicPr/>
                  </pic:nvPicPr>
                  <pic:blipFill>
                    <a:blip r:embed="rId28"/>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5. Revisión de registros y documentos desde el puesto de trabajo.</w:t>
      </w:r>
    </w:p>
    <w:p>
      <w:pPr>
        <w:keepNext/>
        <w:keepLines/>
        <w:pageBreakBefore/>
        <w:jc w:val="center"/>
      </w:pPr>
      <w:r>
        <w:drawing>
          <wp:inline xmlns:a="http://schemas.openxmlformats.org/drawingml/2006/main" xmlns:pic="http://schemas.openxmlformats.org/drawingml/2006/picture">
            <wp:extent cx="3780000" cy="5040000"/>
            <wp:docPr id="21" name="Picture 21"/>
            <wp:cNvGraphicFramePr>
              <a:graphicFrameLocks noChangeAspect="1"/>
            </wp:cNvGraphicFramePr>
            <a:graphic>
              <a:graphicData uri="http://schemas.openxmlformats.org/drawingml/2006/picture">
                <pic:pic>
                  <pic:nvPicPr>
                    <pic:cNvPr id="0" name="IMG-20260818-WA0012.jpg"/>
                    <pic:cNvPicPr/>
                  </pic:nvPicPr>
                  <pic:blipFill>
                    <a:blip r:embed="rId29"/>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6. Revisión de información de pagos y soportes documentales.</w:t>
      </w:r>
    </w:p>
    <w:p>
      <w:pPr>
        <w:keepNext/>
        <w:keepLines/>
        <w:pageBreakBefore/>
        <w:jc w:val="center"/>
      </w:pPr>
      <w:r>
        <w:drawing>
          <wp:inline xmlns:a="http://schemas.openxmlformats.org/drawingml/2006/main" xmlns:pic="http://schemas.openxmlformats.org/drawingml/2006/picture">
            <wp:extent cx="3780000" cy="5040000"/>
            <wp:docPr id="22" name="Picture 22"/>
            <wp:cNvGraphicFramePr>
              <a:graphicFrameLocks noChangeAspect="1"/>
            </wp:cNvGraphicFramePr>
            <a:graphic>
              <a:graphicData uri="http://schemas.openxmlformats.org/drawingml/2006/picture">
                <pic:pic>
                  <pic:nvPicPr>
                    <pic:cNvPr id="0" name="IMG-20260818-WA0015.jpg"/>
                    <pic:cNvPicPr/>
                  </pic:nvPicPr>
                  <pic:blipFill>
                    <a:blip r:embed="rId30"/>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7. Puesto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23" name="Picture 23"/>
            <wp:cNvGraphicFramePr>
              <a:graphicFrameLocks noChangeAspect="1"/>
            </wp:cNvGraphicFramePr>
            <a:graphic>
              <a:graphicData uri="http://schemas.openxmlformats.org/drawingml/2006/picture">
                <pic:pic>
                  <pic:nvPicPr>
                    <pic:cNvPr id="0" name="IMG-20260818-WA0016.jpg"/>
                    <pic:cNvPicPr/>
                  </pic:nvPicPr>
                  <pic:blipFill>
                    <a:blip r:embed="rId31"/>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8. Puesto de trabajo y equipo utilizado durante la pasantía.</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Registro fotográfico suministrado por la autora (2026).</w:t>
      </w:r>
    </w:p>
    <w:sectPr w:rsidR="00FC693F" w:rsidRPr="0006063C" w:rsidSect="00034616">
      <w:footerReference w:type="default" r:id="rId66"/>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footer" Target="footer13.xml"/><Relationship Id="rId45" Type="http://schemas.openxmlformats.org/officeDocument/2006/relationships/footer" Target="footer14.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footer" Target="footer17.xml"/><Relationship Id="rId49" Type="http://schemas.openxmlformats.org/officeDocument/2006/relationships/footer" Target="footer18.xml"/><Relationship Id="rId50" Type="http://schemas.openxmlformats.org/officeDocument/2006/relationships/footer" Target="footer19.xml"/><Relationship Id="rId51" Type="http://schemas.openxmlformats.org/officeDocument/2006/relationships/footer" Target="footer20.xml"/><Relationship Id="rId52" Type="http://schemas.openxmlformats.org/officeDocument/2006/relationships/footer" Target="footer21.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footer" Target="footer24.xml"/><Relationship Id="rId56" Type="http://schemas.openxmlformats.org/officeDocument/2006/relationships/footer" Target="footer25.xml"/><Relationship Id="rId57" Type="http://schemas.openxmlformats.org/officeDocument/2006/relationships/footer" Target="footer26.xml"/><Relationship Id="rId58" Type="http://schemas.openxmlformats.org/officeDocument/2006/relationships/footer" Target="footer27.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footer" Target="footer31.xml"/><Relationship Id="rId63" Type="http://schemas.openxmlformats.org/officeDocument/2006/relationships/footer" Target="footer32.xml"/><Relationship Id="rId64" Type="http://schemas.openxmlformats.org/officeDocument/2006/relationships/footer" Target="footer33.xml"/><Relationship Id="rId65" Type="http://schemas.openxmlformats.org/officeDocument/2006/relationships/footer" Target="footer34.xml"/><Relationship Id="rId66" Type="http://schemas.openxmlformats.org/officeDocument/2006/relationships/footer" Target="footer3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