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32"/>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Lic.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3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Lic. Lenny Mata</w:t>
      </w:r>
    </w:p>
    <w:p>
      <w:pPr>
        <w:spacing w:before="0"/>
        <w:jc w:val="center"/>
      </w:pPr>
      <w:r>
        <w:rPr>
          <w:rFonts w:ascii="Times New Roman" w:hAnsi="Times New Roman"/>
          <w:sz w:val="24"/>
        </w:rPr>
        <w:t>C.I.: 8969750</w:t>
      </w:r>
    </w:p>
    <w:p>
      <w:pPr>
        <w:sectPr>
          <w:footerReference w:type="default" r:id="rId3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35"/>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footerReference w:type="default" r:id="rId36"/>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constante, comprensión y motivación durante mi formación académica y en el desarrollo de esta etapa profesional.</w:t>
      </w:r>
    </w:p>
    <w:p>
      <w:pPr>
        <w:sectPr>
          <w:footerReference w:type="default" r:id="rId37"/>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viii</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8"/>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39"/>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40"/>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Diagrama de Ishikawa del control de solicitudes</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AS-IS de afiliaciones e incidencias</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interdepartamental de gestión de solicitudes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Estados de una solicitud de servicio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Comunicación interdepartamental</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Comparación AS-IS y TO-BE del control de solicitudes</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Diagrama de Ishikawa del control y trazabilidad de las solicitudes de servicio</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Memoria fotográfica de las actividades realizadas</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41"/>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 Alrifaai Alrifaaie, Amaal</w:t>
        <w:br/>
      </w:r>
      <w:r>
        <w:rPr>
          <w:rFonts w:ascii="Times New Roman" w:hAnsi="Times New Roman"/>
          <w:sz w:val="24"/>
        </w:rPr>
        <w:t>C.I.: 31.985.792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42"/>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43"/>
          <w:footerReference w:type="first" r:id="rId44"/>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Ingeniería de Telecomunicaciones,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keepNext/>
        <w:keepLines/>
        <w:spacing w:before="480"/>
        <w:jc w:val="center"/>
      </w:pPr>
      <w:r>
        <w:drawing>
          <wp:inline xmlns:a="http://schemas.openxmlformats.org/drawingml/2006/main" xmlns:pic="http://schemas.openxmlformats.org/drawingml/2006/picture">
            <wp:extent cx="1800000" cy="1125000"/>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125000"/>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Ingeniería de Telecomunicaciones, C.A.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Empresa</w:t>
            </w:r>
          </w:p>
        </w:tc>
        <w:tc>
          <w:tcPr>
            <w:tcW w:type="dxa" w:w="2886"/>
          </w:tcPr>
          <w:p>
            <w:pPr>
              <w:spacing w:line="240" w:lineRule="auto" w:before="40" w:after="40"/>
              <w:jc w:val="left"/>
            </w:pPr>
            <w:r/>
            <w:r>
              <w:rPr>
                <w:rFonts w:ascii="Times New Roman" w:hAnsi="Times New Roman"/>
                <w:sz w:val="20"/>
              </w:rPr>
              <w:t>Personal activo en los cargos de la estructura organizativa</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Ingeniería de Telecomunicaciones, C.A. (2026).</w:t>
      </w:r>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keepNext/>
        <w:keepLines/>
        <w:spacing w:before="480"/>
        <w:jc w:val="center"/>
      </w:pPr>
      <w:r>
        <w:drawing>
          <wp:inline xmlns:a="http://schemas.openxmlformats.org/drawingml/2006/main" xmlns:pic="http://schemas.openxmlformats.org/drawingml/2006/picture">
            <wp:extent cx="4320000" cy="1847904"/>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1847904"/>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Ingeniería de Telecomunicaciones, C.A.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pPr>
        <w:keepNext/>
        <w:keepLines/>
        <w:spacing w:before="480"/>
        <w:jc w:val="center"/>
      </w:pPr>
      <w:r>
        <w:drawing>
          <wp:inline xmlns:a="http://schemas.openxmlformats.org/drawingml/2006/main" xmlns:pic="http://schemas.openxmlformats.org/drawingml/2006/picture">
            <wp:extent cx="4320000" cy="2680292"/>
            <wp:docPr id="7" name="Picture 7"/>
            <wp:cNvGraphicFramePr>
              <a:graphicFrameLocks noChangeAspect="1"/>
            </wp:cNvGraphicFramePr>
            <a:graphic>
              <a:graphicData uri="http://schemas.openxmlformats.org/drawingml/2006/picture">
                <pic:pic>
                  <pic:nvPicPr>
                    <pic:cNvPr id="0" name="3.png"/>
                    <pic:cNvPicPr/>
                  </pic:nvPicPr>
                  <pic:blipFill>
                    <a:blip r:embed="rId15"/>
                    <a:stretch>
                      <a:fillRect/>
                    </a:stretch>
                  </pic:blipFill>
                  <pic:spPr>
                    <a:xfrm>
                      <a:off x="0" y="0"/>
                      <a:ext cx="4320000" cy="2680292"/>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Administración.</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7" w:name="bm_cap2"/>
      <w:pPr>
        <w:pStyle w:val="IUTECPCapítulo"/>
        <w:spacing w:before="480"/>
        <w:jc w:val="center"/>
      </w:pPr>
      <w:r>
        <w:rPr>
          <w:rFonts w:ascii="Times New Roman" w:hAnsi="Times New Roman"/>
          <w:b/>
          <w:sz w:val="24"/>
        </w:rPr>
        <w:t>DIAGNÓSTICO SITUACIONAL</w:t>
      </w:r>
      <w:bookmarkEnd w:id="27"/>
    </w:p>
    <w:p>
      <w:bookmarkStart w:id="28"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8"/>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control administrativo aplicado a la gestión de solicitudes de servicios en Ingeniería de Telecomunicaciones, C.A. Para comprender la problemática de manera progresiva, se consideran aspectos generales relacionados con las organizaciones de servicio, las características propias del sector de telecomunicaciones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bookmarkStart w:id="29" w:name="bm_cap2_objg"/>
      <w:pPr>
        <w:pStyle w:val="IUTECPTítulo2"/>
        <w:keepNext/>
        <w:keepLines/>
        <w:spacing w:before="480" w:after="480" w:line="360" w:lineRule="auto"/>
        <w:jc w:val="left"/>
      </w:pPr>
      <w:r>
        <w:rPr>
          <w:rFonts w:ascii="Times New Roman" w:hAnsi="Times New Roman"/>
          <w:b/>
          <w:sz w:val="24"/>
        </w:rPr>
        <w:t>Objetivo General</w:t>
      </w:r>
      <w:bookmarkEnd w:id="29"/>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30" w:name="bm_cap2_obje"/>
      <w:pPr>
        <w:pStyle w:val="IUTECPTítulo2"/>
        <w:keepNext/>
        <w:keepLines/>
        <w:spacing w:before="480" w:after="480" w:line="360" w:lineRule="auto"/>
        <w:jc w:val="left"/>
      </w:pPr>
      <w:r>
        <w:rPr>
          <w:rFonts w:ascii="Times New Roman" w:hAnsi="Times New Roman"/>
          <w:b/>
          <w:sz w:val="24"/>
        </w:rPr>
        <w:t>Objetivos Específicos</w:t>
      </w:r>
      <w:bookmarkEnd w:id="30"/>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y causas presentes en los mecanismos de control de las solicitudes de servicio, considerando su incidencia en los tiempos de respuesta, la trazabilidad de los casos y la atención al suscriptor.</w:t>
      </w:r>
    </w:p>
    <w:p>
      <w:pPr>
        <w:spacing w:line="360" w:lineRule="auto"/>
        <w:ind w:firstLine="709"/>
        <w:jc w:val="both"/>
      </w:pPr>
      <w:r>
        <w:rPr>
          <w:rFonts w:ascii="Times New Roman" w:hAnsi="Times New Roman"/>
          <w:sz w:val="24"/>
        </w:rPr>
        <w:t xml:space="preserve">3. </w:t>
      </w:r>
      <w:r>
        <w:rPr>
          <w:rFonts w:ascii="Times New Roman" w:hAnsi="Times New Roman"/>
          <w:sz w:val="24"/>
        </w:rPr>
        <w:t>Formular mejoras al control administrativo de las solicitudes mediante un flujo estandarizado, formatos de registro, responsables por etapa e indicadores básicos de seguimiento.</w:t>
      </w:r>
    </w:p>
    <w:p>
      <w:bookmarkStart w:id="31"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1"/>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32"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2"/>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describir las etapas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y causas presentes en los mecanismos de control de las solicitudes de servicio, considerando su incidencia en los tiempos de respuesta, la trazabilidad de los casos y la atención al suscriptor.</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y causas que afectan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Aplicar entrevistas estructuradas al personal, revisar casos históricos, comparar tiempos de respuesta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comparación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reportes internos,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mejoras al control administrativo de las solicitudes mediante un flujo estandarizado, formatos de registro, responsables por etapa e indicadores básicos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Alrifaai A. (2026).</w:t>
      </w:r>
    </w:p>
    <w:p/>
    <w:p>
      <w:bookmarkStart w:id="33"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3"/>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34"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4"/>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footerReference w:type="first" r:id="rId48"/>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5" w:name="bm_cap3"/>
      <w:pPr>
        <w:pStyle w:val="IUTECPCapítulo"/>
        <w:spacing w:before="480"/>
        <w:jc w:val="center"/>
      </w:pPr>
      <w:r>
        <w:rPr>
          <w:rFonts w:ascii="Times New Roman" w:hAnsi="Times New Roman"/>
          <w:b/>
          <w:sz w:val="24"/>
        </w:rPr>
        <w:t>MARCO TEÓRICO</w:t>
      </w:r>
      <w:bookmarkEnd w:id="35"/>
    </w:p>
    <w:p>
      <w:bookmarkStart w:id="36" w:name="bm_cap3_bases"/>
      <w:pPr>
        <w:pStyle w:val="IUTECPTítulo2"/>
        <w:keepNext/>
        <w:keepLines/>
        <w:spacing w:before="480" w:after="480" w:line="360" w:lineRule="auto"/>
        <w:jc w:val="left"/>
      </w:pPr>
      <w:r>
        <w:rPr>
          <w:rFonts w:ascii="Times New Roman" w:hAnsi="Times New Roman"/>
          <w:b/>
          <w:sz w:val="24"/>
        </w:rPr>
        <w:t>Control Administrativo</w:t>
      </w:r>
      <w:bookmarkEnd w:id="36"/>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pStyle w:val="IUTECPTítulo2"/>
        <w:keepNext/>
        <w:keepLines/>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pStyle w:val="IUTECPTítulo2"/>
        <w:keepNext/>
        <w:keepLines/>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pStyle w:val="IUTECPTítulo2"/>
        <w:keepNext/>
        <w:keepLines/>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En el contexto de estas pasantías, la calidad del servicio se relaciona directamente con la capacidad administrativa de IDETEL para responder y dar seguimiento oportuno a las solicitudes del suscriptor.</w:t>
      </w:r>
    </w:p>
    <w:p>
      <w:pPr>
        <w:pStyle w:val="IUTECPTítulo2"/>
        <w:keepNext/>
        <w:keepLines/>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pStyle w:val="IUTECPTítulo2"/>
        <w:keepNext/>
        <w:keepLines/>
        <w:spacing w:before="240" w:after="24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pStyle w:val="IUTECPTítulo2"/>
        <w:keepNext/>
        <w:keepLines/>
        <w:spacing w:before="240" w:after="24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relacionado con la necesidad de conservar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footerReference w:type="default" r:id="rId49"/>
          <w:footerReference w:type="first" r:id="rId50"/>
          <w:pgSz w:w="12240" w:h="15840"/>
          <w:pgMar w:top="1701" w:right="1701" w:bottom="1701" w:left="2268" w:header="720" w:footer="720" w:gutter="0"/>
          <w:cols w:space="720"/>
          <w:titlePg/>
          <w:docGrid w:linePitch="360"/>
          <w:pgNumType w:fmt="decimal"/>
        </w:sectPr>
      </w:pPr>
    </w:p>
    <w:p>
      <w:bookmarkStart w:id="37" w:name="bm_referencias"/>
      <w:pPr>
        <w:pStyle w:val="IUTECPPreliminar"/>
        <w:keepNext/>
        <w:keepLines/>
        <w:spacing w:before="1140" w:after="480"/>
        <w:jc w:val="center"/>
      </w:pPr>
      <w:r>
        <w:rPr>
          <w:rFonts w:ascii="Times New Roman" w:hAnsi="Times New Roman"/>
          <w:b/>
          <w:sz w:val="24"/>
        </w:rPr>
        <w:t>REFERENCIAS</w:t>
      </w:r>
      <w:bookmarkEnd w:id="37"/>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51"/>
          <w:footerReference w:type="first" r:id="rId52"/>
          <w:pgSz w:w="12240" w:h="15840"/>
          <w:pgMar w:top="1701" w:right="1701" w:bottom="1701" w:left="2268" w:header="720" w:footer="720" w:gutter="0"/>
          <w:cols w:space="720"/>
          <w:titlePg/>
          <w:docGrid w:linePitch="360"/>
          <w:pgNumType w:fmt="decimal"/>
        </w:sectPr>
      </w:pPr>
    </w:p>
    <w:p>
      <w:bookmarkStart w:id="38" w:name="bm_anexos"/>
      <w:pPr>
        <w:spacing w:before="6075"/>
        <w:jc w:val="center"/>
      </w:pPr>
      <w:r>
        <w:rPr>
          <w:rFonts w:ascii="Times New Roman" w:hAnsi="Times New Roman"/>
          <w:b/>
          <w:sz w:val="24"/>
        </w:rPr>
        <w:t>ANEXOS</w:t>
      </w:r>
      <w:bookmarkEnd w:id="38"/>
    </w:p>
    <w:p>
      <w:pPr>
        <w:sectPr>
          <w:footerReference w:type="default" r:id="rId53"/>
          <w:pgSz w:w="12240" w:h="15840"/>
          <w:pgMar w:top="1701" w:right="1701" w:bottom="1701" w:left="2268" w:header="720" w:footer="720" w:gutter="0"/>
          <w:cols w:space="720"/>
          <w:docGrid w:linePitch="360"/>
          <w:pgNumType w:fmt="decimal"/>
        </w:sectPr>
      </w:pPr>
    </w:p>
    <w:p>
      <w:bookmarkStart w:id="39" w:name="bm_anexoA"/>
      <w:pPr>
        <w:keepNext/>
        <w:keepLines/>
        <w:spacing w:before="0" w:after="480"/>
        <w:jc w:val="center"/>
      </w:pPr>
      <w:bookmarkEnd w:id="39"/>
      <w:r>
        <w:rPr>
          <w:rFonts w:ascii="Times New Roman" w:hAnsi="Times New Roman"/>
          <w:b/>
          <w:sz w:val="20"/>
        </w:rPr>
        <w:t>ANEXO A</w:t>
      </w:r>
    </w:p>
    <w:p>
      <w:pPr>
        <w:keepNext/>
        <w:keepLines/>
        <w:spacing w:before="240" w:after="480"/>
        <w:jc w:val="center"/>
      </w:pPr>
      <w:r>
        <w:rPr>
          <w:rFonts w:ascii="Times New Roman" w:hAnsi="Times New Roman"/>
          <w:b/>
          <w:sz w:val="20"/>
        </w:rPr>
        <w:t>[Flujograma del proceso propuesto de gestión de solicitudes de servicios]</w:t>
      </w:r>
    </w:p>
    <w:p>
      <w:pPr>
        <w:keepNext/>
        <w:keepLines/>
        <w:jc w:val="center"/>
      </w:pPr>
      <w:r>
        <w:drawing>
          <wp:inline xmlns:a="http://schemas.openxmlformats.org/drawingml/2006/main" xmlns:pic="http://schemas.openxmlformats.org/drawingml/2006/picture">
            <wp:extent cx="1065395" cy="4860000"/>
            <wp:docPr id="8" name="Picture 8"/>
            <wp:cNvGraphicFramePr>
              <a:graphicFrameLocks noChangeAspect="1"/>
            </wp:cNvGraphicFramePr>
            <a:graphic>
              <a:graphicData uri="http://schemas.openxmlformats.org/drawingml/2006/picture">
                <pic:pic>
                  <pic:nvPicPr>
                    <pic:cNvPr id="0" name="4.png"/>
                    <pic:cNvPicPr/>
                  </pic:nvPicPr>
                  <pic:blipFill>
                    <a:blip r:embed="rId16"/>
                    <a:stretch>
                      <a:fillRect/>
                    </a:stretch>
                  </pic:blipFill>
                  <pic:spPr>
                    <a:xfrm>
                      <a:off x="0" y="0"/>
                      <a:ext cx="1065395" cy="486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4"/>
          <w:pgSz w:w="12240" w:h="15840"/>
          <w:pgMar w:top="1701" w:right="1701" w:bottom="1701" w:left="2268" w:header="720" w:footer="720" w:gutter="0"/>
          <w:cols w:space="720"/>
          <w:docGrid w:linePitch="360"/>
          <w:pgNumType w:fmt="decimal"/>
        </w:sectPr>
      </w:pPr>
    </w:p>
    <w:p>
      <w:bookmarkStart w:id="40" w:name="bm_anexoB"/>
      <w:pPr>
        <w:keepNext/>
        <w:keepLines/>
        <w:spacing w:before="0" w:after="480"/>
        <w:jc w:val="center"/>
      </w:pPr>
      <w:bookmarkEnd w:id="40"/>
      <w:r>
        <w:rPr>
          <w:rFonts w:ascii="Times New Roman" w:hAnsi="Times New Roman"/>
          <w:b/>
          <w:sz w:val="20"/>
        </w:rPr>
        <w:t>ANEXO B</w:t>
      </w:r>
    </w:p>
    <w:p>
      <w:pPr>
        <w:keepNext/>
        <w:keepLines/>
        <w:spacing w:before="240" w:after="480"/>
        <w:jc w:val="center"/>
      </w:pPr>
      <w:r>
        <w:rPr>
          <w:rFonts w:ascii="Times New Roman" w:hAnsi="Times New Roman"/>
          <w:b/>
          <w:sz w:val="20"/>
        </w:rPr>
        <w:t>[Diagrama de Ishikawa del control de solicitudes]</w:t>
      </w:r>
    </w:p>
    <w:p>
      <w:pPr>
        <w:keepNext/>
        <w:keepLines/>
        <w:jc w:val="center"/>
      </w:pPr>
      <w:r>
        <w:drawing>
          <wp:inline xmlns:a="http://schemas.openxmlformats.org/drawingml/2006/main" xmlns:pic="http://schemas.openxmlformats.org/drawingml/2006/picture">
            <wp:extent cx="4679999" cy="1208317"/>
            <wp:docPr id="9" name="Picture 9"/>
            <wp:cNvGraphicFramePr>
              <a:graphicFrameLocks noChangeAspect="1"/>
            </wp:cNvGraphicFramePr>
            <a:graphic>
              <a:graphicData uri="http://schemas.openxmlformats.org/drawingml/2006/picture">
                <pic:pic>
                  <pic:nvPicPr>
                    <pic:cNvPr id="0" name="01_ishikawa_control_solicitudes.png"/>
                    <pic:cNvPicPr/>
                  </pic:nvPicPr>
                  <pic:blipFill>
                    <a:blip r:embed="rId17"/>
                    <a:stretch>
                      <a:fillRect/>
                    </a:stretch>
                  </pic:blipFill>
                  <pic:spPr>
                    <a:xfrm>
                      <a:off x="0" y="0"/>
                      <a:ext cx="4679999" cy="120831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5"/>
          <w:pgSz w:w="12240" w:h="15840"/>
          <w:pgMar w:top="1701" w:right="1701" w:bottom="1701" w:left="2268" w:header="720" w:footer="720" w:gutter="0"/>
          <w:cols w:space="720"/>
          <w:docGrid w:linePitch="360"/>
          <w:pgNumType w:fmt="decimal"/>
        </w:sectPr>
      </w:pPr>
    </w:p>
    <w:p>
      <w:bookmarkStart w:id="41" w:name="bm_anexoC"/>
      <w:pPr>
        <w:keepNext/>
        <w:keepLines/>
        <w:spacing w:before="0" w:after="480"/>
        <w:jc w:val="center"/>
      </w:pPr>
      <w:bookmarkEnd w:id="41"/>
      <w:r>
        <w:rPr>
          <w:rFonts w:ascii="Times New Roman" w:hAnsi="Times New Roman"/>
          <w:b/>
          <w:sz w:val="20"/>
        </w:rPr>
        <w:t>ANEXO C</w:t>
      </w:r>
    </w:p>
    <w:p>
      <w:pPr>
        <w:keepNext/>
        <w:keepLines/>
        <w:spacing w:before="240" w:after="480"/>
        <w:jc w:val="center"/>
      </w:pPr>
      <w:r>
        <w:rPr>
          <w:rFonts w:ascii="Times New Roman" w:hAnsi="Times New Roman"/>
          <w:b/>
          <w:sz w:val="20"/>
        </w:rPr>
        <w:t>[Flujograma AS-IS de afiliaciones e incidencias]</w:t>
      </w:r>
    </w:p>
    <w:p>
      <w:pPr>
        <w:keepNext/>
        <w:keepLines/>
        <w:jc w:val="center"/>
      </w:pPr>
      <w:r>
        <w:drawing>
          <wp:inline xmlns:a="http://schemas.openxmlformats.org/drawingml/2006/main" xmlns:pic="http://schemas.openxmlformats.org/drawingml/2006/picture">
            <wp:extent cx="2550866" cy="5400000"/>
            <wp:docPr id="10" name="Picture 10"/>
            <wp:cNvGraphicFramePr>
              <a:graphicFrameLocks noChangeAspect="1"/>
            </wp:cNvGraphicFramePr>
            <a:graphic>
              <a:graphicData uri="http://schemas.openxmlformats.org/drawingml/2006/picture">
                <pic:pic>
                  <pic:nvPicPr>
                    <pic:cNvPr id="0" name="02_flujo_as_is_solicitudes.png"/>
                    <pic:cNvPicPr/>
                  </pic:nvPicPr>
                  <pic:blipFill>
                    <a:blip r:embed="rId18"/>
                    <a:stretch>
                      <a:fillRect/>
                    </a:stretch>
                  </pic:blipFill>
                  <pic:spPr>
                    <a:xfrm>
                      <a:off x="0" y="0"/>
                      <a:ext cx="2550866"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6"/>
          <w:pgSz w:w="12240" w:h="15840"/>
          <w:pgMar w:top="1701" w:right="1701" w:bottom="1701" w:left="2268" w:header="720" w:footer="720" w:gutter="0"/>
          <w:cols w:space="720"/>
          <w:docGrid w:linePitch="360"/>
          <w:pgNumType w:fmt="decimal"/>
        </w:sectPr>
      </w:pPr>
    </w:p>
    <w:p>
      <w:bookmarkStart w:id="42" w:name="bm_anexoD"/>
      <w:pPr>
        <w:keepNext/>
        <w:keepLines/>
        <w:spacing w:before="0" w:after="480"/>
        <w:jc w:val="center"/>
      </w:pPr>
      <w:bookmarkEnd w:id="42"/>
      <w:r>
        <w:rPr>
          <w:rFonts w:ascii="Times New Roman" w:hAnsi="Times New Roman"/>
          <w:b/>
          <w:sz w:val="20"/>
        </w:rPr>
        <w:t>ANEXO D</w:t>
      </w:r>
    </w:p>
    <w:p>
      <w:pPr>
        <w:keepNext/>
        <w:keepLines/>
        <w:spacing w:before="240" w:after="480"/>
        <w:jc w:val="center"/>
      </w:pPr>
      <w:r>
        <w:rPr>
          <w:rFonts w:ascii="Times New Roman" w:hAnsi="Times New Roman"/>
          <w:b/>
          <w:sz w:val="20"/>
        </w:rPr>
        <w:t>[Swimlane interdepartamental de gestión de solicitudes]</w:t>
      </w:r>
    </w:p>
    <w:p>
      <w:pPr>
        <w:keepNext/>
        <w:keepLines/>
        <w:jc w:val="center"/>
      </w:pPr>
      <w:r>
        <w:drawing>
          <wp:inline xmlns:a="http://schemas.openxmlformats.org/drawingml/2006/main" xmlns:pic="http://schemas.openxmlformats.org/drawingml/2006/picture">
            <wp:extent cx="5040000" cy="2942538"/>
            <wp:docPr id="11" name="Picture 11"/>
            <wp:cNvGraphicFramePr>
              <a:graphicFrameLocks noChangeAspect="1"/>
            </wp:cNvGraphicFramePr>
            <a:graphic>
              <a:graphicData uri="http://schemas.openxmlformats.org/drawingml/2006/picture">
                <pic:pic>
                  <pic:nvPicPr>
                    <pic:cNvPr id="0" name="04_swimlane_gestion_solicitudes.png"/>
                    <pic:cNvPicPr/>
                  </pic:nvPicPr>
                  <pic:blipFill>
                    <a:blip r:embed="rId19"/>
                    <a:stretch>
                      <a:fillRect/>
                    </a:stretch>
                  </pic:blipFill>
                  <pic:spPr>
                    <a:xfrm>
                      <a:off x="0" y="0"/>
                      <a:ext cx="5040000" cy="2942538"/>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7"/>
          <w:pgSz w:w="12240" w:h="15840"/>
          <w:pgMar w:top="1701" w:right="1701" w:bottom="1701" w:left="2268" w:header="720" w:footer="720" w:gutter="0"/>
          <w:cols w:space="720"/>
          <w:docGrid w:linePitch="360"/>
          <w:pgNumType w:fmt="decimal"/>
        </w:sectPr>
      </w:pPr>
    </w:p>
    <w:p>
      <w:bookmarkStart w:id="43" w:name="bm_anexoE"/>
      <w:pPr>
        <w:keepNext/>
        <w:keepLines/>
        <w:spacing w:before="0" w:after="480"/>
        <w:jc w:val="center"/>
      </w:pPr>
      <w:bookmarkEnd w:id="43"/>
      <w:r>
        <w:rPr>
          <w:rFonts w:ascii="Times New Roman" w:hAnsi="Times New Roman"/>
          <w:b/>
          <w:sz w:val="20"/>
        </w:rPr>
        <w:t>ANEXO E</w:t>
      </w:r>
    </w:p>
    <w:p>
      <w:pPr>
        <w:keepNext/>
        <w:keepLines/>
        <w:spacing w:before="240" w:after="480"/>
        <w:jc w:val="center"/>
      </w:pPr>
      <w:r>
        <w:rPr>
          <w:rFonts w:ascii="Times New Roman" w:hAnsi="Times New Roman"/>
          <w:b/>
          <w:sz w:val="20"/>
        </w:rPr>
        <w:t>[Estados de una solicitud de servicio]</w:t>
      </w:r>
    </w:p>
    <w:p>
      <w:pPr>
        <w:keepNext/>
        <w:keepLines/>
        <w:jc w:val="center"/>
      </w:pPr>
      <w:r>
        <w:drawing>
          <wp:inline xmlns:a="http://schemas.openxmlformats.org/drawingml/2006/main" xmlns:pic="http://schemas.openxmlformats.org/drawingml/2006/picture">
            <wp:extent cx="4680000" cy="2220000"/>
            <wp:docPr id="12" name="Picture 12"/>
            <wp:cNvGraphicFramePr>
              <a:graphicFrameLocks noChangeAspect="1"/>
            </wp:cNvGraphicFramePr>
            <a:graphic>
              <a:graphicData uri="http://schemas.openxmlformats.org/drawingml/2006/picture">
                <pic:pic>
                  <pic:nvPicPr>
                    <pic:cNvPr id="0" name="05_estados_solicitud.png"/>
                    <pic:cNvPicPr/>
                  </pic:nvPicPr>
                  <pic:blipFill>
                    <a:blip r:embed="rId20"/>
                    <a:stretch>
                      <a:fillRect/>
                    </a:stretch>
                  </pic:blipFill>
                  <pic:spPr>
                    <a:xfrm>
                      <a:off x="0" y="0"/>
                      <a:ext cx="4680000" cy="222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8"/>
          <w:pgSz w:w="12240" w:h="15840"/>
          <w:pgMar w:top="1701" w:right="1701" w:bottom="1701" w:left="2268" w:header="720" w:footer="720" w:gutter="0"/>
          <w:cols w:space="720"/>
          <w:docGrid w:linePitch="360"/>
          <w:pgNumType w:fmt="decimal"/>
        </w:sectPr>
      </w:pPr>
    </w:p>
    <w:p>
      <w:bookmarkStart w:id="44" w:name="bm_anexoF"/>
      <w:pPr>
        <w:keepNext/>
        <w:keepLines/>
        <w:spacing w:before="0" w:after="480"/>
        <w:jc w:val="center"/>
      </w:pPr>
      <w:bookmarkEnd w:id="44"/>
      <w:r>
        <w:rPr>
          <w:rFonts w:ascii="Times New Roman" w:hAnsi="Times New Roman"/>
          <w:b/>
          <w:sz w:val="20"/>
        </w:rPr>
        <w:t>ANEXO F</w:t>
      </w:r>
    </w:p>
    <w:p>
      <w:pPr>
        <w:keepNext/>
        <w:keepLines/>
        <w:spacing w:before="240" w:after="480"/>
        <w:jc w:val="center"/>
      </w:pPr>
      <w:r>
        <w:rPr>
          <w:rFonts w:ascii="Times New Roman" w:hAnsi="Times New Roman"/>
          <w:b/>
          <w:sz w:val="20"/>
        </w:rPr>
        <w:t>[Comunicación interdepartamental]</w:t>
      </w:r>
    </w:p>
    <w:p>
      <w:pPr>
        <w:keepNext/>
        <w:keepLines/>
        <w:jc w:val="center"/>
      </w:pPr>
      <w:r>
        <w:drawing>
          <wp:inline xmlns:a="http://schemas.openxmlformats.org/drawingml/2006/main" xmlns:pic="http://schemas.openxmlformats.org/drawingml/2006/picture">
            <wp:extent cx="3652060" cy="4680000"/>
            <wp:docPr id="13" name="Picture 13"/>
            <wp:cNvGraphicFramePr>
              <a:graphicFrameLocks noChangeAspect="1"/>
            </wp:cNvGraphicFramePr>
            <a:graphic>
              <a:graphicData uri="http://schemas.openxmlformats.org/drawingml/2006/picture">
                <pic:pic>
                  <pic:nvPicPr>
                    <pic:cNvPr id="0" name="10_comunicacion_interdepartamental.png"/>
                    <pic:cNvPicPr/>
                  </pic:nvPicPr>
                  <pic:blipFill>
                    <a:blip r:embed="rId21"/>
                    <a:stretch>
                      <a:fillRect/>
                    </a:stretch>
                  </pic:blipFill>
                  <pic:spPr>
                    <a:xfrm>
                      <a:off x="0" y="0"/>
                      <a:ext cx="365206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9"/>
          <w:pgSz w:w="12240" w:h="15840"/>
          <w:pgMar w:top="1701" w:right="1701" w:bottom="1701" w:left="2268" w:header="720" w:footer="720" w:gutter="0"/>
          <w:cols w:space="720"/>
          <w:docGrid w:linePitch="360"/>
          <w:pgNumType w:fmt="decimal"/>
        </w:sectPr>
      </w:pPr>
    </w:p>
    <w:p>
      <w:bookmarkStart w:id="45" w:name="bm_anexoG"/>
      <w:pPr>
        <w:keepNext/>
        <w:keepLines/>
        <w:spacing w:before="0" w:after="480"/>
        <w:jc w:val="center"/>
      </w:pPr>
      <w:bookmarkEnd w:id="45"/>
      <w:r>
        <w:rPr>
          <w:rFonts w:ascii="Times New Roman" w:hAnsi="Times New Roman"/>
          <w:b/>
          <w:sz w:val="20"/>
        </w:rPr>
        <w:t>ANEXO G</w:t>
      </w:r>
    </w:p>
    <w:p>
      <w:pPr>
        <w:keepNext/>
        <w:keepLines/>
        <w:spacing w:before="240" w:after="480"/>
        <w:jc w:val="center"/>
      </w:pPr>
      <w:r>
        <w:rPr>
          <w:rFonts w:ascii="Times New Roman" w:hAnsi="Times New Roman"/>
          <w:b/>
          <w:sz w:val="20"/>
        </w:rPr>
        <w:t>[Comparación AS-IS y TO-BE del control de solicitudes]</w:t>
      </w:r>
    </w:p>
    <w:p>
      <w:pPr>
        <w:keepNext/>
        <w:keepLines/>
        <w:jc w:val="center"/>
      </w:pPr>
      <w:r>
        <w:drawing>
          <wp:inline xmlns:a="http://schemas.openxmlformats.org/drawingml/2006/main" xmlns:pic="http://schemas.openxmlformats.org/drawingml/2006/picture">
            <wp:extent cx="4680000" cy="4680000"/>
            <wp:docPr id="14" name="Picture 14"/>
            <wp:cNvGraphicFramePr>
              <a:graphicFrameLocks noChangeAspect="1"/>
            </wp:cNvGraphicFramePr>
            <a:graphic>
              <a:graphicData uri="http://schemas.openxmlformats.org/drawingml/2006/picture">
                <pic:pic>
                  <pic:nvPicPr>
                    <pic:cNvPr id="0" name="11_comparacion_as_is_to_be.png"/>
                    <pic:cNvPicPr/>
                  </pic:nvPicPr>
                  <pic:blipFill>
                    <a:blip r:embed="rId22"/>
                    <a:stretch>
                      <a:fillRect/>
                    </a:stretch>
                  </pic:blipFill>
                  <pic:spPr>
                    <a:xfrm>
                      <a:off x="0" y="0"/>
                      <a:ext cx="468000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0"/>
          <w:pgSz w:w="12240" w:h="15840"/>
          <w:pgMar w:top="1701" w:right="1701" w:bottom="1701" w:left="2268" w:header="720" w:footer="720" w:gutter="0"/>
          <w:cols w:space="720"/>
          <w:docGrid w:linePitch="360"/>
          <w:pgNumType w:fmt="decimal"/>
        </w:sectPr>
      </w:pPr>
    </w:p>
    <w:p>
      <w:bookmarkStart w:id="46" w:name="bm_anexoH"/>
      <w:pPr>
        <w:keepNext/>
        <w:keepLines/>
        <w:spacing w:before="0" w:after="480"/>
        <w:jc w:val="center"/>
      </w:pPr>
      <w:bookmarkEnd w:id="46"/>
      <w:r>
        <w:rPr>
          <w:rFonts w:ascii="Times New Roman" w:hAnsi="Times New Roman"/>
          <w:b/>
          <w:sz w:val="20"/>
        </w:rPr>
        <w:t>ANEXO H</w:t>
      </w:r>
    </w:p>
    <w:p>
      <w:pPr>
        <w:keepNext/>
        <w:keepLines/>
        <w:spacing w:before="240" w:after="480"/>
        <w:jc w:val="center"/>
      </w:pPr>
      <w:r>
        <w:rPr>
          <w:rFonts w:ascii="Times New Roman" w:hAnsi="Times New Roman"/>
          <w:b/>
          <w:sz w:val="20"/>
        </w:rPr>
        <w:t>[Diagrama de Ishikawa del control y trazabilidad de las solicitudes de servicio]</w:t>
      </w:r>
    </w:p>
    <w:p>
      <w:pPr>
        <w:keepNext/>
        <w:keepLines/>
        <w:jc w:val="center"/>
      </w:pPr>
      <w:r>
        <w:drawing>
          <wp:inline xmlns:a="http://schemas.openxmlformats.org/drawingml/2006/main" xmlns:pic="http://schemas.openxmlformats.org/drawingml/2006/picture">
            <wp:extent cx="4680000" cy="4264486"/>
            <wp:docPr id="15" name="Picture 15"/>
            <wp:cNvGraphicFramePr>
              <a:graphicFrameLocks noChangeAspect="1"/>
            </wp:cNvGraphicFramePr>
            <a:graphic>
              <a:graphicData uri="http://schemas.openxmlformats.org/drawingml/2006/picture">
                <pic:pic>
                  <pic:nvPicPr>
                    <pic:cNvPr id="0" name="ishikawa_amaal_solicitudes.png"/>
                    <pic:cNvPicPr/>
                  </pic:nvPicPr>
                  <pic:blipFill>
                    <a:blip r:embed="rId23"/>
                    <a:stretch>
                      <a:fillRect/>
                    </a:stretch>
                  </pic:blipFill>
                  <pic:spPr>
                    <a:xfrm>
                      <a:off x="0" y="0"/>
                      <a:ext cx="4680000" cy="42644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61"/>
          <w:pgSz w:w="12240" w:h="15840"/>
          <w:pgMar w:top="1701" w:right="1701" w:bottom="1701" w:left="2268" w:header="720" w:footer="720" w:gutter="0"/>
          <w:cols w:space="720"/>
          <w:docGrid w:linePitch="360"/>
          <w:pgNumType w:fmt="decimal"/>
        </w:sectPr>
      </w:pPr>
    </w:p>
    <w:p>
      <w:bookmarkStart w:id="47" w:name="bm_anexoI"/>
      <w:pPr>
        <w:keepNext/>
        <w:keepLines/>
        <w:spacing w:before="0" w:after="480"/>
        <w:jc w:val="center"/>
      </w:pPr>
      <w:bookmarkEnd w:id="47"/>
      <w:r>
        <w:rPr>
          <w:rFonts w:ascii="Times New Roman" w:hAnsi="Times New Roman"/>
          <w:b/>
          <w:sz w:val="20"/>
        </w:rPr>
        <w:t>ANEXO I</w:t>
      </w:r>
    </w:p>
    <w:p>
      <w:pPr>
        <w:keepNext/>
        <w:keepLines/>
        <w:spacing w:before="240" w:after="480"/>
        <w:jc w:val="center"/>
      </w:pPr>
      <w:r>
        <w:rPr>
          <w:rFonts w:ascii="Times New Roman" w:hAnsi="Times New Roman"/>
          <w:b/>
          <w:sz w:val="20"/>
        </w:rPr>
        <w:t>[Memoria fotográfica de las actividades realizadas]</w:t>
      </w:r>
    </w:p>
    <w:p>
      <w:pPr>
        <w:keepNext/>
        <w:keepLines/>
        <w:jc w:val="center"/>
      </w:pPr>
      <w:r>
        <w:drawing>
          <wp:inline xmlns:a="http://schemas.openxmlformats.org/drawingml/2006/main" xmlns:pic="http://schemas.openxmlformats.org/drawingml/2006/picture">
            <wp:extent cx="4860000" cy="3645000"/>
            <wp:docPr id="16" name="Picture 16"/>
            <wp:cNvGraphicFramePr>
              <a:graphicFrameLocks noChangeAspect="1"/>
            </wp:cNvGraphicFramePr>
            <a:graphic>
              <a:graphicData uri="http://schemas.openxmlformats.org/drawingml/2006/picture">
                <pic:pic>
                  <pic:nvPicPr>
                    <pic:cNvPr id="0" name="IMG-20260818-WA0007.jpg"/>
                    <pic:cNvPicPr/>
                  </pic:nvPicPr>
                  <pic:blipFill>
                    <a:blip r:embed="rId24"/>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1. Registro de actividades administrativas frente al equipo de trabajo.</w:t>
      </w:r>
    </w:p>
    <w:p>
      <w:pPr>
        <w:keepNext/>
        <w:keepLines/>
        <w:pageBreakBefore/>
        <w:jc w:val="center"/>
      </w:pPr>
      <w:r>
        <w:drawing>
          <wp:inline xmlns:a="http://schemas.openxmlformats.org/drawingml/2006/main" xmlns:pic="http://schemas.openxmlformats.org/drawingml/2006/picture">
            <wp:extent cx="4860000" cy="3645000"/>
            <wp:docPr id="17" name="Picture 17"/>
            <wp:cNvGraphicFramePr>
              <a:graphicFrameLocks noChangeAspect="1"/>
            </wp:cNvGraphicFramePr>
            <a:graphic>
              <a:graphicData uri="http://schemas.openxmlformats.org/drawingml/2006/picture">
                <pic:pic>
                  <pic:nvPicPr>
                    <pic:cNvPr id="0" name="IMG-20260818-WA0008.jpg"/>
                    <pic:cNvPicPr/>
                  </pic:nvPicPr>
                  <pic:blipFill>
                    <a:blip r:embed="rId25"/>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2. Vista general del espacio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18" name="Picture 18"/>
            <wp:cNvGraphicFramePr>
              <a:graphicFrameLocks noChangeAspect="1"/>
            </wp:cNvGraphicFramePr>
            <a:graphic>
              <a:graphicData uri="http://schemas.openxmlformats.org/drawingml/2006/picture">
                <pic:pic>
                  <pic:nvPicPr>
                    <pic:cNvPr id="0" name="IMG-20260818-WA0009.jpg"/>
                    <pic:cNvPicPr/>
                  </pic:nvPicPr>
                  <pic:blipFill>
                    <a:blip r:embed="rId26"/>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3. Verificación de información en los registros administrativos del área.</w:t>
      </w:r>
    </w:p>
    <w:p>
      <w:pPr>
        <w:keepNext/>
        <w:keepLines/>
        <w:pageBreakBefore/>
        <w:jc w:val="center"/>
      </w:pPr>
      <w:r>
        <w:drawing>
          <wp:inline xmlns:a="http://schemas.openxmlformats.org/drawingml/2006/main" xmlns:pic="http://schemas.openxmlformats.org/drawingml/2006/picture">
            <wp:extent cx="4860000" cy="3645000"/>
            <wp:docPr id="19" name="Picture 19"/>
            <wp:cNvGraphicFramePr>
              <a:graphicFrameLocks noChangeAspect="1"/>
            </wp:cNvGraphicFramePr>
            <a:graphic>
              <a:graphicData uri="http://schemas.openxmlformats.org/drawingml/2006/picture">
                <pic:pic>
                  <pic:nvPicPr>
                    <pic:cNvPr id="0" name="IMG-20260818-WA0010.jpg"/>
                    <pic:cNvPicPr/>
                  </pic:nvPicPr>
                  <pic:blipFill>
                    <a:blip r:embed="rId27"/>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4. Puesto de trabajo utilizado para la gestión de información administrativa.</w:t>
      </w:r>
    </w:p>
    <w:p>
      <w:pPr>
        <w:keepNext/>
        <w:keepLines/>
        <w:pageBreakBefore/>
        <w:jc w:val="center"/>
      </w:pPr>
      <w:r>
        <w:drawing>
          <wp:inline xmlns:a="http://schemas.openxmlformats.org/drawingml/2006/main" xmlns:pic="http://schemas.openxmlformats.org/drawingml/2006/picture">
            <wp:extent cx="3780000" cy="5040000"/>
            <wp:docPr id="20" name="Picture 20"/>
            <wp:cNvGraphicFramePr>
              <a:graphicFrameLocks noChangeAspect="1"/>
            </wp:cNvGraphicFramePr>
            <a:graphic>
              <a:graphicData uri="http://schemas.openxmlformats.org/drawingml/2006/picture">
                <pic:pic>
                  <pic:nvPicPr>
                    <pic:cNvPr id="0" name="IMG-20260818-WA0011.jpg"/>
                    <pic:cNvPicPr/>
                  </pic:nvPicPr>
                  <pic:blipFill>
                    <a:blip r:embed="rId28"/>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5. Revisión de registros y documentos desde el puesto de trabajo.</w:t>
      </w:r>
    </w:p>
    <w:p>
      <w:pPr>
        <w:keepNext/>
        <w:keepLines/>
        <w:pageBreakBefore/>
        <w:jc w:val="center"/>
      </w:pPr>
      <w:r>
        <w:drawing>
          <wp:inline xmlns:a="http://schemas.openxmlformats.org/drawingml/2006/main" xmlns:pic="http://schemas.openxmlformats.org/drawingml/2006/picture">
            <wp:extent cx="3780000" cy="5040000"/>
            <wp:docPr id="21" name="Picture 21"/>
            <wp:cNvGraphicFramePr>
              <a:graphicFrameLocks noChangeAspect="1"/>
            </wp:cNvGraphicFramePr>
            <a:graphic>
              <a:graphicData uri="http://schemas.openxmlformats.org/drawingml/2006/picture">
                <pic:pic>
                  <pic:nvPicPr>
                    <pic:cNvPr id="0" name="IMG-20260818-WA0012.jpg"/>
                    <pic:cNvPicPr/>
                  </pic:nvPicPr>
                  <pic:blipFill>
                    <a:blip r:embed="rId29"/>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6. Revisión de información de pagos y soportes documentales.</w:t>
      </w:r>
    </w:p>
    <w:p>
      <w:pPr>
        <w:keepNext/>
        <w:keepLines/>
        <w:pageBreakBefore/>
        <w:jc w:val="center"/>
      </w:pPr>
      <w:r>
        <w:drawing>
          <wp:inline xmlns:a="http://schemas.openxmlformats.org/drawingml/2006/main" xmlns:pic="http://schemas.openxmlformats.org/drawingml/2006/picture">
            <wp:extent cx="3780000" cy="5040000"/>
            <wp:docPr id="22" name="Picture 22"/>
            <wp:cNvGraphicFramePr>
              <a:graphicFrameLocks noChangeAspect="1"/>
            </wp:cNvGraphicFramePr>
            <a:graphic>
              <a:graphicData uri="http://schemas.openxmlformats.org/drawingml/2006/picture">
                <pic:pic>
                  <pic:nvPicPr>
                    <pic:cNvPr id="0" name="IMG-20260818-WA0015.jpg"/>
                    <pic:cNvPicPr/>
                  </pic:nvPicPr>
                  <pic:blipFill>
                    <a:blip r:embed="rId30"/>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7. Puesto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23" name="Picture 23"/>
            <wp:cNvGraphicFramePr>
              <a:graphicFrameLocks noChangeAspect="1"/>
            </wp:cNvGraphicFramePr>
            <a:graphic>
              <a:graphicData uri="http://schemas.openxmlformats.org/drawingml/2006/picture">
                <pic:pic>
                  <pic:nvPicPr>
                    <pic:cNvPr id="0" name="IMG-20260818-WA0016.jpg"/>
                    <pic:cNvPicPr/>
                  </pic:nvPicPr>
                  <pic:blipFill>
                    <a:blip r:embed="rId31"/>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8. Puesto de trabajo y equipo utilizado durante la pasantía.</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Registro fotográfico suministrado por la autora (2026).</w:t>
      </w:r>
    </w:p>
    <w:sectPr w:rsidR="00FC693F" w:rsidRPr="0006063C" w:rsidSect="00034616">
      <w:footerReference w:type="default" r:id="rId62"/>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footer" Target="footer13.xml"/><Relationship Id="rId45" Type="http://schemas.openxmlformats.org/officeDocument/2006/relationships/footer" Target="footer14.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footer" Target="footer17.xml"/><Relationship Id="rId49" Type="http://schemas.openxmlformats.org/officeDocument/2006/relationships/footer" Target="footer18.xml"/><Relationship Id="rId50" Type="http://schemas.openxmlformats.org/officeDocument/2006/relationships/footer" Target="footer19.xml"/><Relationship Id="rId51" Type="http://schemas.openxmlformats.org/officeDocument/2006/relationships/footer" Target="footer20.xml"/><Relationship Id="rId52" Type="http://schemas.openxmlformats.org/officeDocument/2006/relationships/footer" Target="footer21.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footer" Target="footer24.xml"/><Relationship Id="rId56" Type="http://schemas.openxmlformats.org/officeDocument/2006/relationships/footer" Target="footer25.xml"/><Relationship Id="rId57" Type="http://schemas.openxmlformats.org/officeDocument/2006/relationships/footer" Target="footer26.xml"/><Relationship Id="rId58" Type="http://schemas.openxmlformats.org/officeDocument/2006/relationships/footer" Target="footer27.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