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Lic.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Lic. Lenny Mata</w:t>
      </w:r>
    </w:p>
    <w:p>
      <w:pPr>
        <w:spacing w:before="0"/>
        <w:jc w:val="center"/>
      </w:pPr>
      <w:r>
        <w:rPr>
          <w:rFonts w:ascii="Times New Roman" w:hAnsi="Times New Roman"/>
          <w:sz w:val="24"/>
        </w:rPr>
        <w:t>C.I.: 8969750</w:t>
      </w:r>
    </w:p>
    <w:p>
      <w:pPr>
        <w:sectPr>
          <w:footerReference w:type="default" r:id="rId3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Alrifaai 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3"/>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footerReference w:type="first" r:id="rId4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Control Administrativo</w:t>
      </w:r>
      <w:bookmarkEnd w:id="36"/>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pStyle w:val="IUTECPTítulo2"/>
        <w:keepNext/>
        <w:keepLines/>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pStyle w:val="IUTECPTítulo2"/>
        <w:keepNext/>
        <w:keepLines/>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pStyle w:val="IUTECPTítulo2"/>
        <w:keepNext/>
        <w:keepLines/>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pStyle w:val="IUTECPTítulo2"/>
        <w:keepNext/>
        <w:keepLines/>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pStyle w:val="IUTECPTítulo2"/>
        <w:keepNext/>
        <w:keepLines/>
        <w:spacing w:before="240" w:after="24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ítulo2"/>
        <w:keepNext/>
        <w:keepLines/>
        <w:spacing w:before="240" w:after="24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formatos estandarizados para afiliaciones e incidencias y redacción del procedimiento de control que acompaña al flujo propuesto.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y validación de la propuesta de mejora con el tutor industrial, incorporación de observaciones y preparación del flujograma definitivo del proceso propuesto.</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51"/>
          <w:footerReference w:type="first" r:id="rId52"/>
          <w:pgSz w:w="12240" w:h="15840"/>
          <w:pgMar w:top="1701" w:right="1701" w:bottom="1701" w:left="2268" w:header="720" w:footer="720" w:gutter="0"/>
          <w:cols w:space="720"/>
          <w:titlePg/>
          <w:docGrid w:linePitch="360"/>
          <w:pgNumType w:fmt="decimal"/>
        </w:sectPr>
      </w:pPr>
    </w:p>
    <w:p>
      <w:bookmarkStart w:id="39" w:name="bm_referencias"/>
      <w:pPr>
        <w:pStyle w:val="IUTECPPreliminar"/>
        <w:keepNext/>
        <w:keepLines/>
        <w:spacing w:before="1140" w:after="480"/>
        <w:jc w:val="center"/>
      </w:pPr>
      <w:r>
        <w:rPr>
          <w:rFonts w:ascii="Times New Roman" w:hAnsi="Times New Roman"/>
          <w:b/>
          <w:sz w:val="24"/>
        </w:rPr>
        <w:t>REFERENCIAS</w:t>
      </w:r>
      <w:bookmarkEnd w:id="39"/>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40" w:name="bm_anexos"/>
      <w:pPr>
        <w:spacing w:before="6075"/>
        <w:jc w:val="center"/>
      </w:pPr>
      <w:r>
        <w:rPr>
          <w:rFonts w:ascii="Times New Roman" w:hAnsi="Times New Roman"/>
          <w:b/>
          <w:sz w:val="24"/>
        </w:rPr>
        <w:t>ANEXOS</w:t>
      </w:r>
      <w:bookmarkEnd w:id="40"/>
    </w:p>
    <w:p>
      <w:pPr>
        <w:sectPr>
          <w:footerReference w:type="default" r:id="rId55"/>
          <w:pgSz w:w="12240" w:h="15840"/>
          <w:pgMar w:top="1701" w:right="1701" w:bottom="1701" w:left="2268" w:header="720" w:footer="720" w:gutter="0"/>
          <w:cols w:space="720"/>
          <w:docGrid w:linePitch="360"/>
          <w:pgNumType w:fmt="decimal"/>
        </w:sectPr>
      </w:pPr>
    </w:p>
    <w:p>
      <w:bookmarkStart w:id="41" w:name="bm_anexoA"/>
      <w:pPr>
        <w:keepNext/>
        <w:keepLines/>
        <w:spacing w:before="0" w:after="480"/>
        <w:jc w:val="center"/>
      </w:pPr>
      <w:bookmarkEnd w:id="41"/>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6"/>
          <w:pgSz w:w="12240" w:h="15840"/>
          <w:pgMar w:top="1701" w:right="1701" w:bottom="1701" w:left="2268" w:header="720" w:footer="720" w:gutter="0"/>
          <w:cols w:space="720"/>
          <w:docGrid w:linePitch="360"/>
          <w:pgNumType w:fmt="decimal"/>
        </w:sectPr>
      </w:pPr>
    </w:p>
    <w:p>
      <w:bookmarkStart w:id="42" w:name="bm_anexoB"/>
      <w:pPr>
        <w:keepNext/>
        <w:keepLines/>
        <w:spacing w:before="0" w:after="480"/>
        <w:jc w:val="center"/>
      </w:pPr>
      <w:bookmarkEnd w:id="42"/>
      <w:r>
        <w:rPr>
          <w:rFonts w:ascii="Times New Roman" w:hAnsi="Times New Roman"/>
          <w:b/>
          <w:sz w:val="20"/>
        </w:rPr>
        <w:t>ANEXO B</w:t>
      </w:r>
    </w:p>
    <w:p>
      <w:pPr>
        <w:keepNext/>
        <w:keepLines/>
        <w:spacing w:before="240" w:after="480"/>
        <w:jc w:val="center"/>
      </w:pPr>
      <w:r>
        <w:rPr>
          <w:rFonts w:ascii="Times New Roman" w:hAnsi="Times New Roman"/>
          <w:b/>
          <w:sz w:val="20"/>
        </w:rPr>
        <w:t>[Diagrama de Ishikawa del control de solicitudes]</w:t>
      </w:r>
    </w:p>
    <w:p>
      <w:pPr>
        <w:keepNext/>
        <w:keepLines/>
        <w:jc w:val="center"/>
      </w:pPr>
      <w:r>
        <w:drawing>
          <wp:inline xmlns:a="http://schemas.openxmlformats.org/drawingml/2006/main" xmlns:pic="http://schemas.openxmlformats.org/drawingml/2006/picture">
            <wp:extent cx="4679999" cy="1208317"/>
            <wp:docPr id="9" name="Picture 9"/>
            <wp:cNvGraphicFramePr>
              <a:graphicFrameLocks noChangeAspect="1"/>
            </wp:cNvGraphicFramePr>
            <a:graphic>
              <a:graphicData uri="http://schemas.openxmlformats.org/drawingml/2006/picture">
                <pic:pic>
                  <pic:nvPicPr>
                    <pic:cNvPr id="0" name="01_ishikawa_control_solicitudes.png"/>
                    <pic:cNvPicPr/>
                  </pic:nvPicPr>
                  <pic:blipFill>
                    <a:blip r:embed="rId17"/>
                    <a:stretch>
                      <a:fillRect/>
                    </a:stretch>
                  </pic:blipFill>
                  <pic:spPr>
                    <a:xfrm>
                      <a:off x="0" y="0"/>
                      <a:ext cx="4679999" cy="120831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7"/>
          <w:pgSz w:w="12240" w:h="15840"/>
          <w:pgMar w:top="1701" w:right="1701" w:bottom="1701" w:left="2268" w:header="720" w:footer="720" w:gutter="0"/>
          <w:cols w:space="720"/>
          <w:docGrid w:linePitch="360"/>
          <w:pgNumType w:fmt="decimal"/>
        </w:sectPr>
      </w:pPr>
    </w:p>
    <w:p>
      <w:bookmarkStart w:id="43" w:name="bm_anexoC"/>
      <w:pPr>
        <w:keepNext/>
        <w:keepLines/>
        <w:spacing w:before="0" w:after="480"/>
        <w:jc w:val="center"/>
      </w:pPr>
      <w:bookmarkEnd w:id="43"/>
      <w:r>
        <w:rPr>
          <w:rFonts w:ascii="Times New Roman" w:hAnsi="Times New Roman"/>
          <w:b/>
          <w:sz w:val="20"/>
        </w:rPr>
        <w:t>ANEXO C</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8"/>
          <w:pgSz w:w="12240" w:h="15840"/>
          <w:pgMar w:top="1701" w:right="1701" w:bottom="1701" w:left="2268" w:header="720" w:footer="720" w:gutter="0"/>
          <w:cols w:space="720"/>
          <w:docGrid w:linePitch="360"/>
          <w:pgNumType w:fmt="decimal"/>
        </w:sectPr>
      </w:pPr>
    </w:p>
    <w:p>
      <w:bookmarkStart w:id="44" w:name="bm_anexoD"/>
      <w:pPr>
        <w:keepNext/>
        <w:keepLines/>
        <w:spacing w:before="0" w:after="480"/>
        <w:jc w:val="center"/>
      </w:pPr>
      <w:bookmarkEnd w:id="44"/>
      <w:r>
        <w:rPr>
          <w:rFonts w:ascii="Times New Roman" w:hAnsi="Times New Roman"/>
          <w:b/>
          <w:sz w:val="20"/>
        </w:rPr>
        <w:t>ANEXO D</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9"/>
          <w:pgSz w:w="12240" w:h="15840"/>
          <w:pgMar w:top="1701" w:right="1701" w:bottom="1701" w:left="2268" w:header="720" w:footer="720" w:gutter="0"/>
          <w:cols w:space="720"/>
          <w:docGrid w:linePitch="360"/>
          <w:pgNumType w:fmt="decimal"/>
        </w:sectPr>
      </w:pPr>
    </w:p>
    <w:p>
      <w:bookmarkStart w:id="45" w:name="bm_anexoE"/>
      <w:pPr>
        <w:keepNext/>
        <w:keepLines/>
        <w:spacing w:before="0" w:after="480"/>
        <w:jc w:val="center"/>
      </w:pPr>
      <w:bookmarkEnd w:id="45"/>
      <w:r>
        <w:rPr>
          <w:rFonts w:ascii="Times New Roman" w:hAnsi="Times New Roman"/>
          <w:b/>
          <w:sz w:val="20"/>
        </w:rPr>
        <w:t>ANEXO E</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0"/>
          <w:pgSz w:w="12240" w:h="15840"/>
          <w:pgMar w:top="1701" w:right="1701" w:bottom="1701" w:left="2268" w:header="720" w:footer="720" w:gutter="0"/>
          <w:cols w:space="720"/>
          <w:docGrid w:linePitch="360"/>
          <w:pgNumType w:fmt="decimal"/>
        </w:sectPr>
      </w:pPr>
    </w:p>
    <w:p>
      <w:bookmarkStart w:id="46" w:name="bm_anexoF"/>
      <w:pPr>
        <w:keepNext/>
        <w:keepLines/>
        <w:spacing w:before="0" w:after="480"/>
        <w:jc w:val="center"/>
      </w:pPr>
      <w:bookmarkEnd w:id="46"/>
      <w:r>
        <w:rPr>
          <w:rFonts w:ascii="Times New Roman" w:hAnsi="Times New Roman"/>
          <w:b/>
          <w:sz w:val="20"/>
        </w:rPr>
        <w:t>ANEXO F</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1"/>
          <w:pgSz w:w="12240" w:h="15840"/>
          <w:pgMar w:top="1701" w:right="1701" w:bottom="1701" w:left="2268" w:header="720" w:footer="720" w:gutter="0"/>
          <w:cols w:space="720"/>
          <w:docGrid w:linePitch="360"/>
          <w:pgNumType w:fmt="decimal"/>
        </w:sectPr>
      </w:pPr>
    </w:p>
    <w:p>
      <w:bookmarkStart w:id="47" w:name="bm_anexoG"/>
      <w:pPr>
        <w:keepNext/>
        <w:keepLines/>
        <w:spacing w:before="0" w:after="480"/>
        <w:jc w:val="center"/>
      </w:pPr>
      <w:bookmarkEnd w:id="47"/>
      <w:r>
        <w:rPr>
          <w:rFonts w:ascii="Times New Roman" w:hAnsi="Times New Roman"/>
          <w:b/>
          <w:sz w:val="20"/>
        </w:rPr>
        <w:t>ANEXO G</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2"/>
          <w:pgSz w:w="12240" w:h="15840"/>
          <w:pgMar w:top="1701" w:right="1701" w:bottom="1701" w:left="2268" w:header="720" w:footer="720" w:gutter="0"/>
          <w:cols w:space="720"/>
          <w:docGrid w:linePitch="360"/>
          <w:pgNumType w:fmt="decimal"/>
        </w:sectPr>
      </w:pPr>
    </w:p>
    <w:p>
      <w:bookmarkStart w:id="48" w:name="bm_anexoH"/>
      <w:pPr>
        <w:keepNext/>
        <w:keepLines/>
        <w:spacing w:before="0" w:after="480"/>
        <w:jc w:val="center"/>
      </w:pPr>
      <w:bookmarkEnd w:id="48"/>
      <w:r>
        <w:rPr>
          <w:rFonts w:ascii="Times New Roman" w:hAnsi="Times New Roman"/>
          <w:b/>
          <w:sz w:val="20"/>
        </w:rPr>
        <w:t>ANEXO H</w:t>
      </w:r>
    </w:p>
    <w:p>
      <w:pPr>
        <w:keepNext/>
        <w:keepLines/>
        <w:spacing w:before="240" w:after="480"/>
        <w:jc w:val="center"/>
      </w:pPr>
      <w:r>
        <w:rPr>
          <w:rFonts w:ascii="Times New Roman" w:hAnsi="Times New Roman"/>
          <w:b/>
          <w:sz w:val="20"/>
        </w:rPr>
        <w:t>[Diagrama de Ishikawa del control y trazabilidad de las solicitudes de servicio]</w:t>
      </w:r>
    </w:p>
    <w:p>
      <w:pPr>
        <w:keepNext/>
        <w:keepLines/>
        <w:jc w:val="center"/>
      </w:pPr>
      <w:r>
        <w:drawing>
          <wp:inline xmlns:a="http://schemas.openxmlformats.org/drawingml/2006/main" xmlns:pic="http://schemas.openxmlformats.org/drawingml/2006/picture">
            <wp:extent cx="4680000" cy="4264486"/>
            <wp:docPr id="15" name="Picture 15"/>
            <wp:cNvGraphicFramePr>
              <a:graphicFrameLocks noChangeAspect="1"/>
            </wp:cNvGraphicFramePr>
            <a:graphic>
              <a:graphicData uri="http://schemas.openxmlformats.org/drawingml/2006/picture">
                <pic:pic>
                  <pic:nvPicPr>
                    <pic:cNvPr id="0" name="ishikawa_amaal_solicitudes.png"/>
                    <pic:cNvPicPr/>
                  </pic:nvPicPr>
                  <pic:blipFill>
                    <a:blip r:embed="rId23"/>
                    <a:stretch>
                      <a:fillRect/>
                    </a:stretch>
                  </pic:blipFill>
                  <pic:spPr>
                    <a:xfrm>
                      <a:off x="0" y="0"/>
                      <a:ext cx="4680000" cy="42644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3"/>
          <w:pgSz w:w="12240" w:h="15840"/>
          <w:pgMar w:top="1701" w:right="1701" w:bottom="1701" w:left="2268" w:header="720" w:footer="720" w:gutter="0"/>
          <w:cols w:space="720"/>
          <w:docGrid w:linePitch="360"/>
          <w:pgNumType w:fmt="decimal"/>
        </w:sectPr>
      </w:pPr>
    </w:p>
    <w:p>
      <w:bookmarkStart w:id="49" w:name="bm_anexoI"/>
      <w:pPr>
        <w:keepNext/>
        <w:keepLines/>
        <w:spacing w:before="0" w:after="480"/>
        <w:jc w:val="center"/>
      </w:pPr>
      <w:bookmarkEnd w:id="49"/>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7.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pPr>
        <w:keepNext/>
        <w:keepLines/>
        <w:pageBreakBefore/>
        <w:jc w:val="center"/>
      </w:pPr>
      <w:r>
        <w:drawing>
          <wp:inline xmlns:a="http://schemas.openxmlformats.org/drawingml/2006/main" xmlns:pic="http://schemas.openxmlformats.org/drawingml/2006/picture">
            <wp:extent cx="4860000" cy="3645000"/>
            <wp:docPr id="17" name="Picture 17"/>
            <wp:cNvGraphicFramePr>
              <a:graphicFrameLocks noChangeAspect="1"/>
            </wp:cNvGraphicFramePr>
            <a:graphic>
              <a:graphicData uri="http://schemas.openxmlformats.org/drawingml/2006/picture">
                <pic:pic>
                  <pic:nvPicPr>
                    <pic:cNvPr id="0" name="IMG-20260818-WA0008.jpg"/>
                    <pic:cNvPicPr/>
                  </pic:nvPicPr>
                  <pic:blipFill>
                    <a:blip r:embed="rId25"/>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18" name="Picture 18"/>
            <wp:cNvGraphicFramePr>
              <a:graphicFrameLocks noChangeAspect="1"/>
            </wp:cNvGraphicFramePr>
            <a:graphic>
              <a:graphicData uri="http://schemas.openxmlformats.org/drawingml/2006/picture">
                <pic:pic>
                  <pic:nvPicPr>
                    <pic:cNvPr id="0" name="IMG-20260818-WA0009.jpg"/>
                    <pic:cNvPicPr/>
                  </pic:nvPicPr>
                  <pic:blipFill>
                    <a:blip r:embed="rId26"/>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pPr>
        <w:keepNext/>
        <w:keepLines/>
        <w:pageBreakBefore/>
        <w:jc w:val="center"/>
      </w:pPr>
      <w:r>
        <w:drawing>
          <wp:inline xmlns:a="http://schemas.openxmlformats.org/drawingml/2006/main" xmlns:pic="http://schemas.openxmlformats.org/drawingml/2006/picture">
            <wp:extent cx="4860000" cy="3645000"/>
            <wp:docPr id="19" name="Picture 19"/>
            <wp:cNvGraphicFramePr>
              <a:graphicFrameLocks noChangeAspect="1"/>
            </wp:cNvGraphicFramePr>
            <a:graphic>
              <a:graphicData uri="http://schemas.openxmlformats.org/drawingml/2006/picture">
                <pic:pic>
                  <pic:nvPicPr>
                    <pic:cNvPr id="0" name="IMG-20260818-WA0010.jpg"/>
                    <pic:cNvPicPr/>
                  </pic:nvPicPr>
                  <pic:blipFill>
                    <a:blip r:embed="rId27"/>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pPr>
        <w:keepNext/>
        <w:keepLines/>
        <w:pageBreakBefore/>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1.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pPr>
        <w:keepNext/>
        <w:keepLines/>
        <w:pageBreakBefore/>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2.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pPr>
        <w:keepNext/>
        <w:keepLines/>
        <w:pageBreakBefore/>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5.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23" name="Picture 23"/>
            <wp:cNvGraphicFramePr>
              <a:graphicFrameLocks noChangeAspect="1"/>
            </wp:cNvGraphicFramePr>
            <a:graphic>
              <a:graphicData uri="http://schemas.openxmlformats.org/drawingml/2006/picture">
                <pic:pic>
                  <pic:nvPicPr>
                    <pic:cNvPr id="0" name="IMG-20260818-WA0016.jpg"/>
                    <pic:cNvPicPr/>
                  </pic:nvPicPr>
                  <pic:blipFill>
                    <a:blip r:embed="rId31"/>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64"/>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footer" Target="footer13.xml"/><Relationship Id="rId45" Type="http://schemas.openxmlformats.org/officeDocument/2006/relationships/footer" Target="footer14.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footer" Target="footer17.xml"/><Relationship Id="rId49" Type="http://schemas.openxmlformats.org/officeDocument/2006/relationships/footer" Target="footer18.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footer" Target="footer21.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footer" Target="footer26.xml"/><Relationship Id="rId58" Type="http://schemas.openxmlformats.org/officeDocument/2006/relationships/footer" Target="footer27.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footer" Target="footer31.xml"/><Relationship Id="rId63" Type="http://schemas.openxmlformats.org/officeDocument/2006/relationships/footer" Target="footer32.xml"/><Relationship Id="rId64" Type="http://schemas.openxmlformats.org/officeDocument/2006/relationships/footer" Target="footer3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