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27.xml" ContentType="application/vnd.openxmlformats-officedocument.wordprocessingml.footer+xml"/>
  <Override PartName="/word/footer33.xml" ContentType="application/vnd.openxmlformats-officedocument.wordprocessingml.footer+xml"/>
  <Override PartName="/word/footer21.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1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9.xml" ContentType="application/vnd.openxmlformats-officedocument.wordprocessingml.footer+xml"/>
  <Override PartName="/word/footer15.xml" ContentType="application/vnd.openxmlformats-officedocument.wordprocessingml.footer+xml"/>
  <Override PartName="/word/footer73.xml" ContentType="application/vnd.openxmlformats-officedocument.wordprocessingml.footer+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83.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84.xml" ContentType="application/vnd.openxmlformats-officedocument.wordprocessingml.footer+xml"/>
  <Override PartName="/word/footer22.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82.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80.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81.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3158" w:after="0"/>
        <w:jc w:val="end"/>
        <w:rPr/>
      </w:pPr>
      <w:r>
        <w:rPr>
          <w:b/>
          <w:sz w:val="24"/>
        </w:rPr>
        <w:t>Autor:</w:t>
        <w:br/>
        <w:t>Alrifaai Alrifaaie, Amaal</w:t>
        <w:br/>
        <w:t>C.I.: 31.985.792</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Lic. Lenny Mata</w:t>
              <w:br/>
              <w:t>C.I.: 8969750</w:t>
              <w:br/>
              <w:br/>
              <w:t>Tutor Académico:</w:t>
              <w:br/>
              <w:t>Dra. Álvarez, Carmen</w:t>
              <w:br/>
              <w:t>C.I.: 14.452.956</w:t>
            </w:r>
          </w:p>
        </w:tc>
        <w:tc>
          <w:tcPr>
            <w:tcW w:w="4135" w:type="dxa"/>
            <w:tcBorders/>
          </w:tcPr>
          <w:p>
            <w:pPr>
              <w:pStyle w:val="Normal"/>
              <w:spacing w:lineRule="auto" w:line="240"/>
              <w:jc w:val="end"/>
              <w:rPr/>
            </w:pPr>
            <w:r>
              <w:rPr>
                <w:b/>
                <w:sz w:val="24"/>
              </w:rPr>
              <w:t>Autor:</w:t>
              <w:br/>
              <w:t>Alrifaai Alrifaaie, Amaal</w:t>
              <w:br/>
              <w:t>C.I.: 31.985.792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563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563880"/>
                    </a:xfrm>
                    <a:prstGeom prst="rect">
                      <a:avLst/>
                    </a:prstGeom>
                    <a:noFill/>
                  </pic:spPr>
                </pic:pic>
              </a:graphicData>
            </a:graphic>
          </wp:inline>
        </w:drawing>
      </w:r>
    </w:p>
    <w:p>
      <w:pPr>
        <w:pStyle w:val="Normal"/>
        <w:rPr/>
      </w:pPr>
      <w:r>
        <w:rPr/>
      </w:r>
    </w:p>
    <w:p>
      <w:pPr>
        <w:pStyle w:val="Normal"/>
        <w:spacing w:lineRule="auto" w:line="360"/>
        <w:jc w:val="center"/>
        <w:rPr/>
      </w:pPr>
      <w:r>
        <w:rPr>
          <w:b/>
          <w:sz w:val="24"/>
        </w:rPr>
        <w:t>Lic. Lenny Mata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8969750</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ALRIFAAI ALRIFAAIE, AMAAL</w:t>
      </w:r>
      <w:r>
        <w:rPr>
          <w:b w:val="false"/>
          <w:sz w:val="24"/>
        </w:rPr>
        <w:t>, de Cédula de Identidad V-31.985.792; para optar al grado de Técnico Superior Universitario en la especialidad de: Administración, cuyo título es; “</w:t>
      </w:r>
      <w:r>
        <w:rPr>
          <w:b/>
          <w:sz w:val="24"/>
        </w:rPr>
        <w:t>EVALUACIÓN DEL CONTROL ADMINISTRATIVO APLICADO A LA GESTIÓN DE SOLICITUDES DE SERVICIOS DE TELECOMUNICACIONES EN LA EMPRESA INGENIERÍA DE TELECOMUNICACIONES,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Álvarez, Carmen</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su apoyo constante, comprensión y motivación durante mi formación académica y en el desarrollo de esta etapa profesional.</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Ingeniería de Telecomunicaciones, C.A.</w:t>
        <w:tab/>
      </w:r>
      <w:r>
        <w:rPr/>
        <w:fldChar w:fldCharType="begin"/>
      </w:r>
      <w:r>
        <w:rPr/>
        <w:instrText xml:space="preserve"> PAGEREF bm_grafico1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Ingeniería de Telecomunicaciones, C.A.</w:t>
        <w:tab/>
      </w:r>
      <w:r>
        <w:rPr/>
        <w:fldChar w:fldCharType="begin"/>
      </w:r>
      <w:r>
        <w:rPr/>
        <w:instrText xml:space="preserve"> PAGEREF bm_grafico2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Ingeniería de Telecomunicaciones, C.A.</w:t>
        <w:tab/>
      </w:r>
      <w:r>
        <w:rPr/>
        <w:fldChar w:fldCharType="begin"/>
      </w:r>
      <w:r>
        <w:rPr/>
        <w:instrText xml:space="preserve"> PAGEREF bm_grafico3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4</w:t>
        <w:tab/>
        <w:t>Organigrama del Departamento de Administración.</w:t>
        <w:tab/>
      </w:r>
      <w:r>
        <w:rPr/>
        <w:fldChar w:fldCharType="begin"/>
      </w:r>
      <w:r>
        <w:rPr/>
        <w:instrText xml:space="preserve"> PAGEREF bm_grafico4 \h </w:instrText>
      </w:r>
      <w:r>
        <w:rPr/>
        <w:fldChar w:fldCharType="separate"/>
      </w:r>
      <w:r>
        <w:rPr/>
        <w:t>?</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Flujograma del proceso propuesto de gestión de solicitudes de servicios</w:t>
        <w:tab/>
      </w:r>
      <w:r>
        <w:rPr/>
        <w:fldChar w:fldCharType="begin"/>
      </w:r>
      <w:r>
        <w:rPr/>
        <w:instrText xml:space="preserve"> PAGEREF bm_anexoA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Diagrama de Ishikawa del control de solicitudes</w:t>
        <w:tab/>
      </w:r>
      <w:r>
        <w:rPr/>
        <w:fldChar w:fldCharType="begin"/>
      </w:r>
      <w:r>
        <w:rPr/>
        <w:instrText xml:space="preserve"> PAGEREF bm_anexoB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Flujograma AS-IS de afiliaciones e incidencias</w:t>
        <w:tab/>
      </w:r>
      <w:r>
        <w:rPr/>
        <w:fldChar w:fldCharType="begin"/>
      </w:r>
      <w:r>
        <w:rPr/>
        <w:instrText xml:space="preserve"> PAGEREF bm_anexoC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Swimlane interdepartamental de gestión de solicitudes</w:t>
        <w:tab/>
      </w:r>
      <w:r>
        <w:rPr/>
        <w:fldChar w:fldCharType="begin"/>
      </w:r>
      <w:r>
        <w:rPr/>
        <w:instrText xml:space="preserve"> PAGEREF bm_anexoD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Estados de una solicitud de servicio</w:t>
        <w:tab/>
      </w:r>
      <w:r>
        <w:rPr/>
        <w:fldChar w:fldCharType="begin"/>
      </w:r>
      <w:r>
        <w:rPr/>
        <w:instrText xml:space="preserve"> PAGEREF bm_anexoE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Comunicación interdepartamental</w:t>
        <w:tab/>
      </w:r>
      <w:r>
        <w:rPr/>
        <w:fldChar w:fldCharType="begin"/>
      </w:r>
      <w:r>
        <w:rPr/>
        <w:instrText xml:space="preserve"> PAGEREF bm_anexoF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G</w:t>
        <w:tab/>
        <w:t>Comparación AS-IS y TO-BE del control de solicitudes</w:t>
        <w:tab/>
      </w:r>
      <w:r>
        <w:rPr/>
        <w:fldChar w:fldCharType="begin"/>
      </w:r>
      <w:r>
        <w:rPr/>
        <w:instrText xml:space="preserve"> PAGEREF bm_anexoG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H</w:t>
        <w:tab/>
        <w:t>Diagrama de Ishikawa del control y trazabilidad de las solicitudes de servicio</w:t>
        <w:tab/>
      </w:r>
      <w:r>
        <w:rPr/>
        <w:fldChar w:fldCharType="begin"/>
      </w:r>
      <w:r>
        <w:rPr/>
        <w:instrText xml:space="preserve"> PAGEREF bm_anexoH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I</w:t>
        <w:tab/>
        <w:t>Memoria fotográfica de las actividades realizadas</w:t>
        <w:tab/>
      </w:r>
      <w:r>
        <w:rPr/>
        <w:fldChar w:fldCharType="begin"/>
      </w:r>
      <w:r>
        <w:rPr/>
        <w:instrText xml:space="preserve"> PAGEREF bm_anexoI \h </w:instrText>
      </w:r>
      <w:r>
        <w:rPr/>
        <w:fldChar w:fldCharType="separate"/>
      </w:r>
      <w:r>
        <w:rPr/>
        <w:t>?</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40" w:before="0" w:after="120"/>
        <w:ind w:start="0"/>
        <w:jc w:val="end"/>
        <w:rPr/>
      </w:pPr>
      <w:r>
        <w:rPr>
          <w:b/>
          <w:sz w:val="24"/>
        </w:rPr>
        <w:t>Autor: Alrifaai Alrifaaie, Amaal</w:t>
        <w:br/>
      </w:r>
      <w:r>
        <w:rPr>
          <w:sz w:val="24"/>
        </w:rPr>
        <w:t>C.I.: 31.985.792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control administrativo, solicitudes de servicio, trazabilidad, telecomunicaciones,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pStyle w:val="Normal"/>
        <w:spacing w:lineRule="auto" w:line="360" w:before="0" w:after="0"/>
        <w:ind w:firstLine="709"/>
        <w:jc w:val="both"/>
        <w:rPr/>
      </w:pPr>
      <w:r>
        <w:rPr>
          <w:i w:val="false"/>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pStyle w:val="Normal"/>
        <w:spacing w:lineRule="auto" w:line="360" w:before="0" w:after="0"/>
        <w:ind w:firstLine="709"/>
        <w:jc w:val="both"/>
        <w:rPr/>
      </w:pPr>
      <w:r>
        <w:rPr>
          <w:i w:val="false"/>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Ingeniería de Telecomunicaciones, C.A. (IDETEL / INTELCA)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pStyle w:val="Normal"/>
        <w:spacing w:lineRule="auto" w:line="360" w:before="0" w:after="0"/>
        <w:ind w:firstLine="709"/>
        <w:jc w:val="both"/>
        <w:rPr/>
      </w:pPr>
      <w:r>
        <w:rPr>
          <w:i w:val="false"/>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pStyle w:val="Normal"/>
        <w:spacing w:lineRule="auto" w:line="360" w:before="0" w:after="0"/>
        <w:ind w:firstLine="709"/>
        <w:jc w:val="both"/>
        <w:rPr/>
      </w:pPr>
      <w:r>
        <w:rPr>
          <w:i w:val="false"/>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Confiabilidad: </w:t>
      </w:r>
      <w:r>
        <w:rPr>
          <w:sz w:val="24"/>
        </w:rPr>
        <w:t>Compromiso de entregar soluciones tecnológicas robustas que cumplan con los más altos estándares técnicos y de ingeniería para garantizar operaciones continuas y seguras.</w:t>
      </w:r>
    </w:p>
    <w:p>
      <w:pPr>
        <w:pStyle w:val="Normal"/>
        <w:spacing w:lineRule="auto" w:line="360"/>
        <w:ind w:firstLine="709"/>
        <w:jc w:val="both"/>
        <w:rPr/>
      </w:pPr>
      <w:r>
        <w:rPr>
          <w:sz w:val="24"/>
        </w:rPr>
        <w:t xml:space="preserve">2. </w:t>
      </w:r>
      <w:r>
        <w:rPr>
          <w:b/>
          <w:sz w:val="24"/>
        </w:rPr>
        <w:t xml:space="preserve">Innovación y Competitividad: </w:t>
      </w:r>
      <w:r>
        <w:rPr>
          <w:sz w:val="24"/>
        </w:rPr>
        <w:t>Búsqueda constante de actualización y adopción de tecnologías de última generación para sobresalir y liderar el mercado de soluciones inalámbricas y ópticas.</w:t>
      </w:r>
    </w:p>
    <w:p>
      <w:pPr>
        <w:pStyle w:val="Normal"/>
        <w:spacing w:lineRule="auto" w:line="360"/>
        <w:ind w:firstLine="709"/>
        <w:jc w:val="both"/>
        <w:rPr/>
      </w:pPr>
      <w:r>
        <w:rPr>
          <w:sz w:val="24"/>
        </w:rPr>
        <w:t xml:space="preserve">3. </w:t>
      </w:r>
      <w:r>
        <w:rPr>
          <w:b/>
          <w:sz w:val="24"/>
        </w:rPr>
        <w:t xml:space="preserve">Seguridad Laboral e Higiene Ocupacional: </w:t>
      </w:r>
      <w:r>
        <w:rPr>
          <w:sz w:val="24"/>
        </w:rPr>
        <w:t>Aplicación rigurosa de normas de protección e integridad física del personal en cada obra, instalación en campo o infraestructura crítica atendida.</w:t>
      </w:r>
    </w:p>
    <w:p>
      <w:pPr>
        <w:pStyle w:val="Normal"/>
        <w:spacing w:lineRule="auto" w:line="360"/>
        <w:ind w:firstLine="709"/>
        <w:jc w:val="both"/>
        <w:rPr/>
      </w:pPr>
      <w:r>
        <w:rPr>
          <w:sz w:val="24"/>
        </w:rPr>
        <w:t xml:space="preserve">4. </w:t>
      </w:r>
      <w:r>
        <w:rPr>
          <w:b/>
          <w:sz w:val="24"/>
        </w:rPr>
        <w:t xml:space="preserve">Excelencia Técnica: </w:t>
      </w:r>
      <w:r>
        <w:rPr>
          <w:sz w:val="24"/>
        </w:rPr>
        <w:t>Orientación hacia la precisión en los procesos de diseño, empalme por fusión, certificación de redes y asesoría en laboratorio.</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Ejecutar todo género de actividad o prestación de servicios relacionados directa o indirectamente con el ramo de las comunicaciones, computación y la electrónica en general.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Prestar servicios de importación, manufacturación, asesoría, ventas, instalaciones, arrendamientos, supervisión y mantenimiento en el área de telecomunicaciones.</w:t>
      </w:r>
    </w:p>
    <w:p>
      <w:pPr>
        <w:pStyle w:val="Normal"/>
        <w:spacing w:lineRule="auto" w:line="360"/>
        <w:ind w:firstLine="709"/>
        <w:jc w:val="both"/>
        <w:rPr/>
      </w:pPr>
      <w:r>
        <w:rPr>
          <w:sz w:val="24"/>
        </w:rPr>
        <w:t>2. Representar total o parcialmente cualquier producto comercial relacionado con sus operaciones mercantiles.</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Ingeniería de Telecomunicaciones, C.A.</w:t>
      </w:r>
      <w:bookmarkEnd w:id="18"/>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sede administrativa y operativa de Ingeniería de Telecomunicaciones, C.A. se encuentra ubicada en la Calle Bolívar, Edificio La Suiza, Piso 1, Oficina Nro. 28, ciudad de El Tigre, Municipio Simón Rodríguez, estado Anzoátegui, Venezuela.</w:t>
      </w:r>
    </w:p>
    <w:p>
      <w:pPr>
        <w:pStyle w:val="Normal"/>
        <w:keepNext w:val="true"/>
        <w:keepLines/>
        <w:spacing w:before="480" w:after="0"/>
        <w:jc w:val="center"/>
        <w:rPr/>
      </w:pPr>
      <w:r>
        <w:rPr/>
        <w:drawing>
          <wp:inline distT="0" distB="0" distL="0" distR="0">
            <wp:extent cx="1800225" cy="11252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1252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Ingeniería de Telecomunicaciones, C.A.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Empresa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Personal activo en los cargos de la estructura organizativa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8</w:t>
            </w:r>
          </w:p>
        </w:tc>
      </w:tr>
    </w:tbl>
    <w:p>
      <w:pPr>
        <w:pStyle w:val="Normal"/>
        <w:spacing w:lineRule="auto" w:line="240" w:before="0" w:after="240"/>
        <w:ind w:hanging="0"/>
        <w:jc w:val="start"/>
        <w:rPr/>
      </w:pPr>
      <w:r>
        <w:rPr>
          <w:i/>
          <w:sz w:val="20"/>
        </w:rPr>
        <w:t xml:space="preserve">Fuente: </w:t>
      </w:r>
      <w:r>
        <w:rPr>
          <w:sz w:val="20"/>
        </w:rPr>
        <w:t>Información suministrada por Ingeniería de Telecomunicaciones, C.A. (2026).</w:t>
      </w:r>
    </w:p>
    <w:p>
      <w:pPr>
        <w:pStyle w:val="Normal"/>
        <w:spacing w:lineRule="auto" w:line="360" w:before="0" w:after="0"/>
        <w:ind w:firstLine="709"/>
        <w:jc w:val="both"/>
        <w:rPr/>
      </w:pPr>
      <w:r>
        <w:rPr>
          <w:i w:val="false"/>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pStyle w:val="Normal"/>
        <w:spacing w:lineRule="auto" w:line="360" w:before="0" w:after="0"/>
        <w:ind w:firstLine="709"/>
        <w:jc w:val="both"/>
        <w:rPr/>
      </w:pPr>
      <w:r>
        <w:rPr>
          <w:i w:val="false"/>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pStyle w:val="Normal"/>
        <w:keepNext w:val="true"/>
        <w:keepLines/>
        <w:spacing w:before="480" w:after="0"/>
        <w:jc w:val="center"/>
        <w:rPr/>
      </w:pPr>
      <w:r>
        <w:rPr/>
        <w:drawing>
          <wp:inline distT="0" distB="0" distL="0" distR="0">
            <wp:extent cx="4319905"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1847850"/>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Ingeniería de Telecomunicaciones, C.A.</w:t>
      </w:r>
      <w:bookmarkEnd w:id="24"/>
    </w:p>
    <w:p>
      <w:pPr>
        <w:pStyle w:val="Normal"/>
        <w:spacing w:lineRule="auto" w:line="240" w:before="0" w:after="240"/>
        <w:ind w:hanging="0"/>
        <w:jc w:val="center"/>
        <w:rPr/>
      </w:pPr>
      <w:r>
        <w:rPr>
          <w:i/>
          <w:sz w:val="20"/>
        </w:rPr>
        <w:t xml:space="preserve">Fuente: </w:t>
      </w:r>
      <w:r>
        <w:rPr>
          <w:sz w:val="20"/>
        </w:rPr>
        <w:t>Ingeniería de Telecomunicaciones, C.A. (2026).</w:t>
      </w:r>
    </w:p>
    <w:p>
      <w:pPr>
        <w:pStyle w:val="Normal"/>
        <w:keepNext w:val="true"/>
        <w:keepLines/>
        <w:spacing w:before="480" w:after="0"/>
        <w:jc w:val="center"/>
        <w:rPr/>
      </w:pPr>
      <w:r>
        <w:rPr/>
        <w:drawing>
          <wp:inline distT="0" distB="0" distL="0" distR="0">
            <wp:extent cx="4319905" cy="26803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4"/>
                    <a:stretch>
                      <a:fillRect/>
                    </a:stretch>
                  </pic:blipFill>
                  <pic:spPr bwMode="auto">
                    <a:xfrm>
                      <a:off x="0" y="0"/>
                      <a:ext cx="4319905" cy="2680335"/>
                    </a:xfrm>
                    <a:prstGeom prst="rect">
                      <a:avLst/>
                    </a:prstGeom>
                    <a:noFill/>
                  </pic:spPr>
                </pic:pic>
              </a:graphicData>
            </a:graphic>
          </wp:inline>
        </w:drawing>
      </w:r>
    </w:p>
    <w:p>
      <w:pPr>
        <w:pStyle w:val="Normal"/>
        <w:keepNext w:val="true"/>
        <w:keepLines/>
        <w:spacing w:before="120" w:after="480"/>
        <w:jc w:val="center"/>
        <w:rPr/>
      </w:pPr>
      <w:bookmarkStart w:id="25" w:name="bm_grafico4"/>
      <w:r>
        <w:rPr>
          <w:i/>
          <w:sz w:val="20"/>
        </w:rPr>
        <w:t xml:space="preserve">Gráfico 4. </w:t>
      </w:r>
      <w:r>
        <w:rPr>
          <w:b/>
          <w:sz w:val="20"/>
        </w:rPr>
        <w:t>Organigrama del Departamento de Administración.</w:t>
      </w:r>
      <w:bookmarkEnd w:id="25"/>
    </w:p>
    <w:p>
      <w:pPr>
        <w:pStyle w:val="Normal"/>
        <w:spacing w:lineRule="auto" w:line="240" w:before="0" w:after="240"/>
        <w:ind w:hanging="0"/>
        <w:jc w:val="center"/>
        <w:rPr/>
      </w:pPr>
      <w:r>
        <w:rPr>
          <w:i/>
          <w:sz w:val="20"/>
        </w:rPr>
        <w:t xml:space="preserve">Fuente: </w:t>
      </w:r>
      <w:r>
        <w:rPr>
          <w:sz w:val="20"/>
        </w:rPr>
        <w:t>Ingeniería de Telecomunicaciones, C.A. (2026).</w:t>
      </w:r>
    </w:p>
    <w:p>
      <w:pPr>
        <w:pStyle w:val="IUTECPTtulo2"/>
        <w:keepNext w:val="true"/>
        <w:keepLines/>
        <w:spacing w:lineRule="auto" w:line="360" w:before="480" w:after="480"/>
        <w:jc w:val="start"/>
        <w:rPr/>
      </w:pPr>
      <w:bookmarkStart w:id="26" w:name="bm_cap1_departamento"/>
      <w:r>
        <w:rPr>
          <w:b/>
          <w:sz w:val="24"/>
        </w:rPr>
        <w:t>Descripción del departamento donde realizó la pasantía</w:t>
      </w:r>
      <w:bookmarkEnd w:id="26"/>
    </w:p>
    <w:p>
      <w:pPr>
        <w:pStyle w:val="Normal"/>
        <w:spacing w:lineRule="auto" w:line="360" w:before="0" w:after="0"/>
        <w:ind w:firstLine="709"/>
        <w:jc w:val="both"/>
        <w:rPr/>
        <w:sectPr>
          <w:footerReference w:type="even" r:id="rId45"/>
          <w:footerReference w:type="default" r:id="rId46"/>
          <w:footerReference w:type="first" r:id="rId47"/>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pStyle w:val="Normal"/>
        <w:keepNext w:val="true"/>
        <w:keepLines/>
        <w:spacing w:before="1140" w:after="480"/>
        <w:jc w:val="center"/>
        <w:rPr/>
      </w:pPr>
      <w:r>
        <w:rPr>
          <w:b/>
          <w:sz w:val="24"/>
        </w:rPr>
        <w:t>CAPÍTULO II</w:t>
      </w:r>
    </w:p>
    <w:p>
      <w:pPr>
        <w:pStyle w:val="IUTECPCaptulo"/>
        <w:spacing w:before="480" w:after="0"/>
        <w:jc w:val="center"/>
        <w:rPr/>
      </w:pPr>
      <w:bookmarkStart w:id="27" w:name="bm_cap2"/>
      <w:r>
        <w:rPr>
          <w:b/>
          <w:sz w:val="24"/>
        </w:rPr>
        <w:t>DIAGNÓSTICO SITUACIONAL</w:t>
      </w:r>
      <w:bookmarkEnd w:id="27"/>
    </w:p>
    <w:p>
      <w:pPr>
        <w:pStyle w:val="IUTECPTtulo2"/>
        <w:keepNext w:val="true"/>
        <w:keepLines/>
        <w:spacing w:lineRule="auto" w:line="360" w:before="480" w:after="480"/>
        <w:jc w:val="start"/>
        <w:rPr/>
      </w:pPr>
      <w:bookmarkStart w:id="28" w:name="bm_cap2_sit"/>
      <w:r>
        <w:rPr>
          <w:b/>
          <w:sz w:val="24"/>
        </w:rPr>
        <w:t>Identificación de la Situación Problemática</w:t>
      </w:r>
      <w:bookmarkEnd w:id="28"/>
    </w:p>
    <w:p>
      <w:pPr>
        <w:pStyle w:val="Normal"/>
        <w:spacing w:lineRule="auto" w:line="360" w:before="0" w:after="0"/>
        <w:ind w:firstLine="709"/>
        <w:jc w:val="both"/>
        <w:rPr/>
      </w:pPr>
      <w:r>
        <w:rPr>
          <w:i w:val="false"/>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pStyle w:val="Normal"/>
        <w:spacing w:lineRule="auto" w:line="360" w:before="0" w:after="0"/>
        <w:ind w:firstLine="709"/>
        <w:jc w:val="both"/>
        <w:rPr/>
      </w:pPr>
      <w:r>
        <w:rPr>
          <w:i w:val="false"/>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Normal"/>
        <w:spacing w:lineRule="auto" w:line="360" w:before="0" w:after="0"/>
        <w:ind w:firstLine="709"/>
        <w:jc w:val="both"/>
        <w:rPr/>
      </w:pPr>
      <w:r>
        <w:rPr>
          <w:i w:val="false"/>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pPr>
        <w:pStyle w:val="IUTECPTtulo2"/>
        <w:keepNext w:val="true"/>
        <w:keepLines/>
        <w:spacing w:lineRule="auto" w:line="360" w:before="480" w:after="480"/>
        <w:jc w:val="start"/>
        <w:rPr/>
      </w:pPr>
      <w:bookmarkStart w:id="29" w:name="bm_cap2_objg"/>
      <w:r>
        <w:rPr>
          <w:b/>
          <w:sz w:val="24"/>
        </w:rPr>
        <w:t>Objetivo General</w:t>
      </w:r>
      <w:bookmarkEnd w:id="29"/>
    </w:p>
    <w:p>
      <w:pPr>
        <w:pStyle w:val="Normal"/>
        <w:spacing w:lineRule="auto" w:line="360" w:before="0" w:after="0"/>
        <w:ind w:firstLine="709"/>
        <w:jc w:val="both"/>
        <w:rPr/>
      </w:pPr>
      <w:r>
        <w:rPr>
          <w:i w:val="false"/>
          <w:sz w:val="24"/>
        </w:rPr>
        <w:t>Evaluar el control administrativo aplicado a la gestión de solicitudes de servicios de telecomunicaciones en Ingeniería de Telecomunicaciones, C.A. (IDETEL), con el propósito de identificar sus debilidades y formular mejoras procedimentales.</w:t>
      </w:r>
    </w:p>
    <w:p>
      <w:pPr>
        <w:pStyle w:val="IUTECPTtulo2"/>
        <w:keepNext w:val="true"/>
        <w:keepLines/>
        <w:spacing w:lineRule="auto" w:line="360" w:before="480" w:after="480"/>
        <w:jc w:val="start"/>
        <w:rPr/>
      </w:pPr>
      <w:bookmarkStart w:id="30" w:name="bm_cap2_obje"/>
      <w:r>
        <w:rPr>
          <w:b/>
          <w:sz w:val="24"/>
        </w:rPr>
        <w:t>Objetivos Específicos</w:t>
      </w:r>
      <w:bookmarkEnd w:id="30"/>
    </w:p>
    <w:p>
      <w:pPr>
        <w:pStyle w:val="Normal"/>
        <w:spacing w:lineRule="auto" w:line="360"/>
        <w:ind w:firstLine="709"/>
        <w:jc w:val="both"/>
        <w:rPr/>
      </w:pPr>
      <w:r>
        <w:rPr>
          <w:sz w:val="24"/>
        </w:rPr>
        <w:t>1. 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pStyle w:val="Normal"/>
        <w:spacing w:lineRule="auto" w:line="360"/>
        <w:ind w:firstLine="709"/>
        <w:jc w:val="both"/>
        <w:rPr/>
      </w:pPr>
      <w:r>
        <w:rPr>
          <w:sz w:val="24"/>
        </w:rPr>
        <w:t>2. Identificar las deficiencias y causas presentes en los mecanismos de control de las solicitudes de servicio, considerando su incidencia en los tiempos de respuesta, la trazabilidad de los casos y la atención al suscriptor.</w:t>
      </w:r>
    </w:p>
    <w:p>
      <w:pPr>
        <w:pStyle w:val="Normal"/>
        <w:spacing w:lineRule="auto" w:line="360"/>
        <w:ind w:firstLine="709"/>
        <w:jc w:val="both"/>
        <w:rPr/>
      </w:pPr>
      <w:r>
        <w:rPr>
          <w:sz w:val="24"/>
        </w:rPr>
        <w:t>3. Formular mejoras al control administrativo de las solicitudes mediante un flujo estandarizado, formatos de registro, responsables por etapa e indicadores básicos de seguimiento.</w:t>
      </w:r>
    </w:p>
    <w:p>
      <w:pPr>
        <w:pStyle w:val="IUTECPTtulo2"/>
        <w:keepNext w:val="true"/>
        <w:keepLines/>
        <w:spacing w:lineRule="auto" w:line="360" w:before="480" w:after="480"/>
        <w:jc w:val="start"/>
        <w:rPr/>
      </w:pPr>
      <w:bookmarkStart w:id="31" w:name="bm_cap2_planif"/>
      <w:r>
        <w:rPr>
          <w:b/>
          <w:sz w:val="24"/>
        </w:rPr>
        <w:t>Planificación integral de objetivos</w:t>
      </w:r>
      <w:bookmarkEnd w:id="31"/>
    </w:p>
    <w:p>
      <w:pPr>
        <w:pStyle w:val="Normal"/>
        <w:spacing w:lineRule="auto" w:line="360" w:before="0" w:after="0"/>
        <w:ind w:firstLine="709"/>
        <w:jc w:val="both"/>
        <w:rPr/>
      </w:pPr>
      <w:r>
        <w:rPr>
          <w:i w:val="false"/>
          <w:sz w:val="24"/>
        </w:rPr>
        <w:t>La planificación relaciona cada objetivo específico con las actividades de observación, diagnóstico, análisis y formulación de mejoras al control administrativo:</w:t>
      </w:r>
    </w:p>
    <w:p>
      <w:pPr>
        <w:pStyle w:val="Normal"/>
        <w:keepNext w:val="true"/>
        <w:keepLines/>
        <w:spacing w:lineRule="auto" w:line="360" w:before="480" w:after="240"/>
        <w:jc w:val="start"/>
        <w:rPr/>
      </w:pPr>
      <w:bookmarkStart w:id="32" w:name="bm_cuadro2"/>
      <w:r>
        <w:rPr>
          <w:b/>
          <w:sz w:val="20"/>
        </w:rPr>
        <w:t xml:space="preserve">Cuadro 2. </w:t>
      </w:r>
      <w:r>
        <w:rPr>
          <w:i/>
          <w:sz w:val="20"/>
        </w:rPr>
        <w:t>Planificación integral de objetivos específicos.</w:t>
      </w:r>
      <w:bookmarkEnd w:id="32"/>
    </w:p>
    <w:tbl>
      <w:tblPr>
        <w:tblStyle w:val="TableGrid"/>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44"/>
        <w:gridCol w:w="1643"/>
        <w:gridCol w:w="1644"/>
        <w:gridCol w:w="1645"/>
        <w:gridCol w:w="1695"/>
      </w:tblGrid>
      <w:tr>
        <w:trPr>
          <w:tblHeader w:val="true"/>
        </w:trPr>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Objetivo</w:t>
            </w:r>
          </w:p>
        </w:tc>
        <w:tc>
          <w:tcPr>
            <w:tcW w:w="1643"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Actividades</w:t>
            </w:r>
          </w:p>
        </w:tc>
        <w:tc>
          <w:tcPr>
            <w:tcW w:w="164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Técnica</w:t>
            </w:r>
          </w:p>
        </w:tc>
        <w:tc>
          <w:tcPr>
            <w:tcW w:w="169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Instrumento</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Proceso administrativo de gestión de solicitudes de servicio.</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Observar el recorrido de afiliaciones e incidencias desde Atención al Cliente hasta su seguimiento administrativo, describir las etapas y revisar la documentación utilizada.</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Observación directa y análisis documental.</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observación, registros de solicitudes, comprobantes y documentos internos.</w:t>
            </w:r>
          </w:p>
        </w:tc>
      </w:tr>
      <w:tr>
        <w:trPr/>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Identificar las deficiencias y causas presentes en los mecanismos de control de las solicitudes de servicio, considerando su incidencia en los tiempos de respuesta, la trazabilidad de los casos y la atención al suscriptor.</w:t>
            </w:r>
          </w:p>
        </w:tc>
        <w:tc>
          <w:tcPr>
            <w:tcW w:w="1643"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Deficiencias y causas que afectan el control administrativo de solicitudes.</w:t>
            </w:r>
          </w:p>
        </w:tc>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Aplicar entrevistas estructuradas al personal, revisar casos históricos, comparar tiempos de respuesta y elaborar un diagrama de Ishikawa con las causas identificadas.</w:t>
            </w:r>
          </w:p>
        </w:tc>
        <w:tc>
          <w:tcPr>
            <w:tcW w:w="164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Entrevista estructurada, análisis documental, comparación de tiempos y diagrama causa-efecto.</w:t>
            </w:r>
          </w:p>
        </w:tc>
        <w:tc>
          <w:tcPr>
            <w:tcW w:w="169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entrevista, registros históricos, reportes internos, hoja de cálculo y matriz de causas.</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Formular mejoras al control administrativo de las solicitudes mediante un flujo estandarizado, formatos de registro, responsables por etapa e indicadores básicos de seguimiento.</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Mejoras al control administrativo de solicitudes.</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Diseñar el flujo estandarizado, formatos de registro, responsables por etapa e indicadores básicos de seguimiento; validar la propuesta con el tutor industrial.</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procedimental y validación técnica.</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Procesador de textos, herramientas de diagramación, hoja de cálculo y formato de validación.</w:t>
            </w:r>
          </w:p>
        </w:tc>
      </w:tr>
    </w:tbl>
    <w:p>
      <w:pPr>
        <w:pStyle w:val="Normal"/>
        <w:spacing w:lineRule="auto" w:line="240" w:before="0" w:after="240"/>
        <w:ind w:hanging="0"/>
        <w:jc w:val="start"/>
        <w:rPr/>
      </w:pPr>
      <w:r>
        <w:rPr>
          <w:i/>
          <w:sz w:val="20"/>
        </w:rPr>
        <w:t xml:space="preserve">Fuente: </w:t>
      </w:r>
      <w:r>
        <w:rPr>
          <w:sz w:val="20"/>
        </w:rPr>
        <w:t>Alrifaai A. (2026).</w:t>
      </w:r>
    </w:p>
    <w:p>
      <w:pPr>
        <w:pStyle w:val="Normal"/>
        <w:rPr/>
      </w:pPr>
      <w:r>
        <w:rPr/>
      </w:r>
    </w:p>
    <w:p>
      <w:pPr>
        <w:pStyle w:val="IUTECPTtulo2"/>
        <w:keepNext w:val="true"/>
        <w:keepLines/>
        <w:spacing w:lineRule="auto" w:line="360" w:before="480" w:after="480"/>
        <w:jc w:val="start"/>
        <w:rPr/>
      </w:pPr>
      <w:bookmarkStart w:id="33" w:name="bm_cap2_crono"/>
      <w:r>
        <w:rPr>
          <w:b/>
          <w:sz w:val="24"/>
        </w:rPr>
        <w:t>CRONOGRAMA DE ACTIVIDADES (DIAGRAMA DE GANTT)</w:t>
      </w:r>
      <w:bookmarkEnd w:id="33"/>
    </w:p>
    <w:p>
      <w:pPr>
        <w:pStyle w:val="Normal"/>
        <w:spacing w:lineRule="auto" w:line="360" w:before="0" w:after="0"/>
        <w:ind w:firstLine="709"/>
        <w:jc w:val="both"/>
        <w:rPr/>
      </w:pPr>
      <w:r>
        <w:rPr>
          <w:i w:val="false"/>
          <w:sz w:val="24"/>
        </w:rPr>
        <w:t>El cronograma organiza las actividades operativas y de análisis durante las diez (10) semanas de pasantía, considerando la rotación inicial por Atención al Cliente y la posterior incorporación al área de Administración:</w:t>
      </w:r>
    </w:p>
    <w:p>
      <w:pPr>
        <w:pStyle w:val="Normal"/>
        <w:keepNext w:val="true"/>
        <w:keepLines/>
        <w:spacing w:lineRule="auto" w:line="360" w:before="480" w:after="240"/>
        <w:jc w:val="start"/>
        <w:rPr/>
      </w:pPr>
      <w:bookmarkStart w:id="34" w:name="bm_cuadro3"/>
      <w:r>
        <w:rPr>
          <w:b/>
          <w:sz w:val="20"/>
        </w:rPr>
        <w:t xml:space="preserve">Cuadro 3. </w:t>
      </w:r>
      <w:r>
        <w:rPr>
          <w:i/>
          <w:sz w:val="20"/>
        </w:rPr>
        <w:t>Cronograma de actividades de la pasantía.</w:t>
      </w:r>
      <w:bookmarkEnd w:id="34"/>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 Atención al Cliente y del flujo de solicitudes.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en Atención al Cliente: registro de pagos, recepción de solicitudes y observación del proceso.</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y descripción del proceso administrativo de afiliaciones e incidencias.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y aplicación de entrevistas estructuradas al personal relacionado con las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Diagnóstico de deficiencias y elaboración del diagrama de Ishikawa.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Revisión y desarrollo de las bases teóricas relacionadas con el control administrativo.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del impacto de las debilidades sobre tiempos, trazabilidad y atención al suscriptor.</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estandarizado y de los formatos de control de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Formulación y validación de la propuesta de mejora.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Consolidación, revisión y presentación del informe de pasantías.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pagos, facturación, seguimiento de casos y reportes administrativos.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bl>
    <w:p>
      <w:pPr>
        <w:pStyle w:val="Normal"/>
        <w:spacing w:lineRule="auto" w:line="240" w:before="0" w:after="0"/>
        <w:ind w:hanging="0"/>
        <w:jc w:val="start"/>
        <w:rPr/>
        <w:sectPr>
          <w:footerReference w:type="even" r:id="rId48"/>
          <w:footerReference w:type="default" r:id="rId49"/>
          <w:footerReference w:type="first" r:id="rId50"/>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Elaboración propia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5" w:name="bm_cap3"/>
      <w:r>
        <w:rPr>
          <w:b/>
          <w:sz w:val="24"/>
        </w:rPr>
        <w:t>MARCO TEÓRICO</w:t>
      </w:r>
      <w:bookmarkEnd w:id="35"/>
    </w:p>
    <w:p>
      <w:pPr>
        <w:pStyle w:val="IUTECPTtulo2"/>
        <w:keepNext w:val="true"/>
        <w:keepLines/>
        <w:spacing w:lineRule="auto" w:line="360" w:before="480" w:after="480"/>
        <w:jc w:val="start"/>
        <w:rPr/>
      </w:pPr>
      <w:bookmarkStart w:id="36" w:name="bm_cap3_bases"/>
      <w:r>
        <w:rPr>
          <w:b/>
          <w:sz w:val="24"/>
        </w:rPr>
        <w:t>Control Administrativo</w:t>
      </w:r>
      <w:bookmarkEnd w:id="36"/>
    </w:p>
    <w:p>
      <w:pPr>
        <w:pStyle w:val="Normal"/>
        <w:spacing w:lineRule="auto" w:line="360" w:before="0" w:after="0"/>
        <w:ind w:firstLine="709"/>
        <w:jc w:val="both"/>
        <w:rPr/>
      </w:pPr>
      <w:r>
        <w:rPr>
          <w:i w:val="false"/>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pStyle w:val="Normal"/>
        <w:spacing w:lineRule="auto" w:line="360" w:before="0" w:after="0"/>
        <w:ind w:firstLine="709"/>
        <w:jc w:val="both"/>
        <w:rPr/>
      </w:pPr>
      <w:r>
        <w:rPr>
          <w:i w:val="false"/>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pStyle w:val="Normal"/>
        <w:spacing w:lineRule="auto" w:line="240" w:before="720" w:after="240"/>
        <w:ind w:start="709" w:end="709"/>
        <w:jc w:val="both"/>
        <w:rPr/>
      </w:pPr>
      <w:r>
        <w:rPr>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 (Robbins y Coulter, 2010, p. 398)</w:t>
      </w:r>
    </w:p>
    <w:p>
      <w:pPr>
        <w:pStyle w:val="Normal"/>
        <w:spacing w:lineRule="auto" w:line="360" w:before="0" w:after="0"/>
        <w:ind w:firstLine="709"/>
        <w:jc w:val="both"/>
        <w:rPr/>
      </w:pPr>
      <w:r>
        <w:rPr>
          <w:i w:val="false"/>
          <w:sz w:val="24"/>
        </w:rPr>
        <w:t>Desde la perspectiva de quien desarrolla este informe, el control administrativo en IDETEL debe convertirse en una herramienta de seguimiento continuo y no limitarse a la revisión posterior de los casos.</w:t>
      </w:r>
    </w:p>
    <w:p>
      <w:pPr>
        <w:pStyle w:val="IUTECPTtulo2"/>
        <w:keepNext w:val="true"/>
        <w:keepLines/>
        <w:spacing w:lineRule="auto" w:line="360" w:before="480" w:after="480"/>
        <w:jc w:val="start"/>
        <w:rPr/>
      </w:pPr>
      <w:r>
        <w:rPr>
          <w:b/>
          <w:sz w:val="24"/>
        </w:rPr>
        <w:t>Gestión de Solicitudes de Servicio</w:t>
      </w:r>
    </w:p>
    <w:p>
      <w:pPr>
        <w:pStyle w:val="Normal"/>
        <w:spacing w:lineRule="auto" w:line="360" w:before="0" w:after="0"/>
        <w:ind w:firstLine="709"/>
        <w:jc w:val="both"/>
        <w:rPr/>
      </w:pPr>
      <w:r>
        <w:rPr>
          <w:i w:val="false"/>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pStyle w:val="Normal"/>
        <w:spacing w:lineRule="auto" w:line="360" w:before="0" w:after="0"/>
        <w:ind w:firstLine="709"/>
        <w:jc w:val="both"/>
        <w:rPr/>
      </w:pPr>
      <w:r>
        <w:rPr>
          <w:i w:val="false"/>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pStyle w:val="Normal"/>
        <w:spacing w:lineRule="auto" w:line="360" w:before="0" w:after="0"/>
        <w:ind w:firstLine="709"/>
        <w:jc w:val="both"/>
        <w:rPr/>
      </w:pPr>
      <w:r>
        <w:rPr>
          <w:i w:val="false"/>
          <w:sz w:val="24"/>
        </w:rPr>
        <w:t>En el contexto de IDETEL, la gestión de solicitudes requiere un flujo único que permita conocer el responsable, el estado y el tiempo de atención de cada caso.</w:t>
      </w:r>
    </w:p>
    <w:p>
      <w:pPr>
        <w:pStyle w:val="IUTECPTtulo2"/>
        <w:keepNext w:val="true"/>
        <w:keepLines/>
        <w:spacing w:lineRule="auto" w:line="360" w:before="480" w:after="480"/>
        <w:jc w:val="start"/>
        <w:rPr/>
      </w:pPr>
      <w:r>
        <w:rPr>
          <w:b/>
          <w:sz w:val="24"/>
        </w:rPr>
        <w:t>Procesos Administrativos y Estandarización de Procedimientos</w:t>
      </w:r>
    </w:p>
    <w:p>
      <w:pPr>
        <w:pStyle w:val="Normal"/>
        <w:spacing w:lineRule="auto" w:line="360" w:before="0" w:after="0"/>
        <w:ind w:firstLine="709"/>
        <w:jc w:val="both"/>
        <w:rPr/>
      </w:pPr>
      <w:r>
        <w:rPr>
          <w:i w:val="false"/>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pStyle w:val="Normal"/>
        <w:spacing w:lineRule="auto" w:line="360" w:before="0" w:after="0"/>
        <w:ind w:firstLine="709"/>
        <w:jc w:val="both"/>
        <w:rPr/>
      </w:pPr>
      <w:r>
        <w:rPr>
          <w:i w:val="false"/>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pStyle w:val="Normal"/>
        <w:spacing w:lineRule="auto" w:line="360" w:before="0" w:after="0"/>
        <w:ind w:firstLine="709"/>
        <w:jc w:val="both"/>
        <w:rPr/>
      </w:pPr>
      <w:r>
        <w:rPr>
          <w:i w:val="false"/>
          <w:sz w:val="24"/>
        </w:rPr>
        <w:t>A juicio de quien suscribe, la estandarización propuesta no busca aumentar la carga administrativa, sino eliminar ambigüedades y hacer verificable cada etapa del proceso.</w:t>
      </w:r>
    </w:p>
    <w:p>
      <w:pPr>
        <w:pStyle w:val="IUTECPTtulo2"/>
        <w:keepNext w:val="true"/>
        <w:keepLines/>
        <w:spacing w:lineRule="auto" w:line="360" w:before="480" w:after="480"/>
        <w:jc w:val="start"/>
        <w:rPr/>
      </w:pPr>
      <w:r>
        <w:rPr>
          <w:b/>
          <w:sz w:val="24"/>
        </w:rPr>
        <w:t>Calidad del Servicio en Empresas de Telecomunicaciones</w:t>
      </w:r>
    </w:p>
    <w:p>
      <w:pPr>
        <w:pStyle w:val="Normal"/>
        <w:spacing w:lineRule="auto" w:line="360" w:before="0" w:after="0"/>
        <w:ind w:firstLine="709"/>
        <w:jc w:val="both"/>
        <w:rPr/>
      </w:pPr>
      <w:r>
        <w:rPr>
          <w:i w:val="false"/>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pStyle w:val="Normal"/>
        <w:spacing w:lineRule="auto" w:line="360" w:before="0" w:after="0"/>
        <w:ind w:firstLine="709"/>
        <w:jc w:val="both"/>
        <w:rPr/>
      </w:pPr>
      <w:r>
        <w:rPr>
          <w:i w:val="false"/>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pStyle w:val="Normal"/>
        <w:spacing w:lineRule="auto" w:line="360" w:before="0" w:after="0"/>
        <w:ind w:firstLine="709"/>
        <w:jc w:val="both"/>
        <w:rPr/>
      </w:pPr>
      <w:r>
        <w:rPr>
          <w:i w:val="false"/>
          <w:sz w:val="24"/>
        </w:rPr>
        <w:t>En el contexto de estas pasantías, la calidad del servicio se relaciona directamente con la capacidad administrativa de IDETEL para responder y dar seguimiento oportuno a las solicitudes del suscriptor.</w:t>
      </w:r>
    </w:p>
    <w:p>
      <w:pPr>
        <w:pStyle w:val="IUTECPTtulo2"/>
        <w:keepNext w:val="true"/>
        <w:keepLines/>
        <w:spacing w:lineRule="auto" w:line="360" w:before="480" w:after="480"/>
        <w:jc w:val="start"/>
        <w:rPr/>
      </w:pPr>
      <w:r>
        <w:rPr>
          <w:b/>
          <w:sz w:val="24"/>
        </w:rPr>
        <w:t>Sistemas de Información para el Control Administrativo</w:t>
      </w:r>
    </w:p>
    <w:p>
      <w:pPr>
        <w:pStyle w:val="Normal"/>
        <w:spacing w:lineRule="auto" w:line="360" w:before="0" w:after="0"/>
        <w:ind w:firstLine="709"/>
        <w:jc w:val="both"/>
        <w:rPr/>
      </w:pPr>
      <w:r>
        <w:rPr>
          <w:i w:val="false"/>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pStyle w:val="Normal"/>
        <w:spacing w:lineRule="auto" w:line="360" w:before="0" w:after="0"/>
        <w:ind w:firstLine="709"/>
        <w:jc w:val="both"/>
        <w:rPr/>
      </w:pPr>
      <w:r>
        <w:rPr>
          <w:i w:val="false"/>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pStyle w:val="Normal"/>
        <w:spacing w:lineRule="auto" w:line="360" w:before="0" w:after="0"/>
        <w:ind w:firstLine="709"/>
        <w:jc w:val="both"/>
        <w:rPr/>
      </w:pPr>
      <w:r>
        <w:rPr>
          <w:i w:val="false"/>
          <w:sz w:val="24"/>
        </w:rPr>
        <w:t>Desde la posición del autor, una herramienta de seguimiento centralizada es viable para IDETEL porque permite mejorar la trazabilidad sin modificar la naturaleza de los servicios que presta la empresa.</w:t>
      </w:r>
    </w:p>
    <w:p>
      <w:pPr>
        <w:pStyle w:val="IUTECPTtulo2"/>
        <w:keepNext w:val="true"/>
        <w:keepLines/>
        <w:spacing w:lineRule="auto" w:line="360" w:before="240" w:after="24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tulo2"/>
        <w:keepNext w:val="true"/>
        <w:keepLines/>
        <w:spacing w:lineRule="auto" w:line="360" w:before="240" w:after="24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relacionado con la necesidad de conservar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sectPr>
          <w:footerReference w:type="even" r:id="rId51"/>
          <w:footerReference w:type="default" r:id="rId52"/>
          <w:footerReference w:type="first" r:id="rId53"/>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pStyle w:val="Normal"/>
        <w:keepNext w:val="true"/>
        <w:keepLines/>
        <w:spacing w:before="1140" w:after="480"/>
        <w:jc w:val="center"/>
        <w:rPr/>
      </w:pPr>
      <w:r>
        <w:rPr>
          <w:b/>
          <w:sz w:val="24"/>
        </w:rPr>
        <w:t>CAPÍTULO IV</w:t>
      </w:r>
    </w:p>
    <w:p>
      <w:pPr>
        <w:pStyle w:val="IUTECPCaptulo"/>
        <w:spacing w:before="480" w:after="0"/>
        <w:jc w:val="center"/>
        <w:rPr/>
      </w:pPr>
      <w:bookmarkStart w:id="37" w:name="bm_cap4"/>
      <w:r>
        <w:rPr>
          <w:b/>
          <w:sz w:val="24"/>
        </w:rPr>
        <w:t>ACTIVIDADES REALIZADAS</w:t>
      </w:r>
      <w:bookmarkEnd w:id="37"/>
    </w:p>
    <w:p>
      <w:pPr>
        <w:pStyle w:val="IUTECPTtulo2"/>
        <w:keepNext w:val="true"/>
        <w:keepLines/>
        <w:spacing w:lineRule="auto" w:line="360" w:before="480" w:after="480"/>
        <w:jc w:val="start"/>
        <w:rPr/>
      </w:pPr>
      <w:bookmarkStart w:id="38" w:name="bm_cap4_desc"/>
      <w:r>
        <w:rPr>
          <w:b/>
          <w:sz w:val="24"/>
        </w:rPr>
        <w:t>Descripción de Actividades Ejecutadas por Semana</w:t>
      </w:r>
      <w:bookmarkEnd w:id="38"/>
    </w:p>
    <w:p>
      <w:pPr>
        <w:pStyle w:val="Normal"/>
        <w:spacing w:lineRule="auto" w:line="360" w:before="0" w:after="0"/>
        <w:ind w:firstLine="709"/>
        <w:jc w:val="both"/>
        <w:rPr/>
      </w:pPr>
      <w:r>
        <w:rPr>
          <w:i w:val="false"/>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punto de inicio de las solicitudes de afiliación e incidencias, identificando los datos que se generan en Atención al Cliente y la forma en que son comunicados a otras áreas.</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Atención al Cliente mediante recepción y registro de pagos, verificación de datos básicos de suscriptores y orientación inicial sobre solicitudes e incidencias reportadas.</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recorrido de las solicitudes desde su recepción, revisión de registros disponibles y elaboración de un esquema preliminar de las etapas y áreas que intervienen en cada tipo de caso.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Continuación del apoyo en Atención al Cliente, registro de pagos y solicitudes, actualización de información básica y seguimiento inicial de casos remitidos a otras áreas.</w:t>
      </w:r>
    </w:p>
    <w:p>
      <w:pPr>
        <w:pStyle w:val="Normal"/>
        <w:spacing w:lineRule="auto" w:line="360"/>
        <w:ind w:firstLine="709"/>
        <w:jc w:val="both"/>
        <w:rPr/>
      </w:pPr>
      <w:r>
        <w:rPr>
          <w:sz w:val="24"/>
        </w:rPr>
        <w:t xml:space="preserve">2. </w:t>
      </w:r>
      <w:r>
        <w:rPr>
          <w:b/>
          <w:sz w:val="24"/>
        </w:rPr>
        <w:t xml:space="preserve">Actividad de análisis: </w:t>
      </w:r>
      <w:r>
        <w:rPr>
          <w:sz w:val="24"/>
        </w:rPr>
        <w:t>Diseño de una guía de entrevista estructurada y revisión del flujo observado para precisar los puntos donde se pierde continuidad o se dificulta conocer el estatus de las solicitudes.</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Inicio de la rotación por Administración con apoyo en procesamiento de pagos, facturación, revisión de documentación y seguimiento administrativo de solicitudes activas.</w:t>
      </w:r>
    </w:p>
    <w:p>
      <w:pPr>
        <w:pStyle w:val="Normal"/>
        <w:spacing w:lineRule="auto" w:line="360"/>
        <w:ind w:firstLine="709"/>
        <w:jc w:val="both"/>
        <w:rPr/>
      </w:pPr>
      <w:r>
        <w:rPr>
          <w:sz w:val="24"/>
        </w:rPr>
        <w:t xml:space="preserve">2. </w:t>
      </w:r>
      <w:r>
        <w:rPr>
          <w:b/>
          <w:sz w:val="24"/>
        </w:rPr>
        <w:t xml:space="preserve">Actividad de análisis: </w:t>
      </w:r>
      <w:r>
        <w:rPr>
          <w:sz w:val="24"/>
        </w:rPr>
        <w:t>Aplicación de entrevistas estructuradas al personal vinculado con Administración, Atención al Cliente y áreas relacionadas, registrando las principales fallas percibidas en comunicación, control y seguimiento.</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Apoyo en tareas administrativas de facturación, actualización de registros y verificación del cierre de solicitudes e incidencias correspondientes al período.</w:t>
      </w:r>
    </w:p>
    <w:p>
      <w:pPr>
        <w:pStyle w:val="Normal"/>
        <w:spacing w:lineRule="auto" w:line="360"/>
        <w:ind w:firstLine="709"/>
        <w:jc w:val="both"/>
        <w:rPr/>
      </w:pPr>
      <w:r>
        <w:rPr>
          <w:sz w:val="24"/>
        </w:rPr>
        <w:t xml:space="preserve">2. </w:t>
      </w:r>
      <w:r>
        <w:rPr>
          <w:b/>
          <w:sz w:val="24"/>
        </w:rPr>
        <w:t xml:space="preserve">Actividad de análisis: </w:t>
      </w:r>
      <w:r>
        <w:rPr>
          <w:sz w:val="24"/>
        </w:rPr>
        <w:t>Organización de los hallazgos del diagnóstico y elaboración del diagrama de Ishikawa para representar las causas relacionadas con procedimiento, comunicación, registro y seguimiento; inicio de la revisión de bases teóricas.</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Procesamiento de pagos y documentos administrativos, apoyo en facturación y elaboración de reportes básicos requeridos por la supervisión.</w:t>
      </w:r>
    </w:p>
    <w:p>
      <w:pPr>
        <w:pStyle w:val="Normal"/>
        <w:spacing w:lineRule="auto" w:line="360"/>
        <w:ind w:firstLine="709"/>
        <w:jc w:val="both"/>
        <w:rPr/>
      </w:pPr>
      <w:r>
        <w:rPr>
          <w:sz w:val="24"/>
        </w:rPr>
        <w:t xml:space="preserve">2. </w:t>
      </w:r>
      <w:r>
        <w:rPr>
          <w:b/>
          <w:sz w:val="24"/>
        </w:rPr>
        <w:t xml:space="preserve">Actividad de análisis: </w:t>
      </w:r>
      <w:r>
        <w:rPr>
          <w:sz w:val="24"/>
        </w:rPr>
        <w:t>Análisis del impacto de las deficiencias identificadas sobre los tiempos de respuesta, la trazabilidad y la atención al suscriptor, complementando el desarrollo del marco teórico.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seguimiento de casos, actualización de registros administrativos y organización de documentación vinculada con solicitudes de servicio.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estandarizado para la gestión de solicitudes, estableciendo etapas, responsables, tiempos de referencia y puntos de control desde la recepción hasta el cierre.</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Colaboración en facturación, seguimiento de incidencias y preparación de reportes administrativos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 formatos estandarizados para afiliaciones e incidencias y redacción del procedimiento de control que acompaña al flujo propuesto.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 Administración y apoyo en el cierre y seguimiento de casos correspondientes al período de pasantías.</w:t>
      </w:r>
    </w:p>
    <w:p>
      <w:pPr>
        <w:pStyle w:val="Normal"/>
        <w:spacing w:lineRule="auto" w:line="360"/>
        <w:ind w:firstLine="709"/>
        <w:jc w:val="both"/>
        <w:rPr/>
      </w:pPr>
      <w:r>
        <w:rPr>
          <w:sz w:val="24"/>
        </w:rPr>
        <w:t xml:space="preserve">2. </w:t>
      </w:r>
      <w:r>
        <w:rPr>
          <w:b/>
          <w:sz w:val="24"/>
        </w:rPr>
        <w:t xml:space="preserve">Actividad de análisis: </w:t>
      </w:r>
      <w:r>
        <w:rPr>
          <w:sz w:val="24"/>
        </w:rPr>
        <w:t>Redacción y validación de la propuesta de mejora con el tutor industrial, incorporación de observaciones y preparación del flujograma definitivo del proceso propuesto.</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de los resultados y de la propuesta ante la supervisión del área, gestión de los recaudos de cierre y organización final de la documentación de pasantías.</w:t>
      </w:r>
    </w:p>
    <w:p>
      <w:pPr>
        <w:pStyle w:val="Normal"/>
        <w:spacing w:lineRule="auto" w:line="360" w:before="0" w:after="0"/>
        <w:ind w:firstLine="709"/>
        <w:jc w:val="both"/>
        <w:rPr/>
        <w:sectPr>
          <w:footerReference w:type="even" r:id="rId54"/>
          <w:footerReference w:type="default" r:id="rId55"/>
          <w:footerReference w:type="first" r:id="rId56"/>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académico, revisión de la normativa IUTECP, incorporación de anexos y correcciones finales para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39" w:name="bm_cap5"/>
      <w:r>
        <w:rPr>
          <w:b/>
          <w:sz w:val="24"/>
        </w:rPr>
        <w:t>CONCLUSIONES Y RECOMENDACIONES</w:t>
      </w:r>
      <w:bookmarkEnd w:id="39"/>
    </w:p>
    <w:p>
      <w:pPr>
        <w:pStyle w:val="IUTECPTtulo2"/>
        <w:keepNext w:val="true"/>
        <w:keepLines/>
        <w:spacing w:lineRule="auto" w:line="360" w:before="480" w:after="480"/>
        <w:jc w:val="start"/>
        <w:rPr/>
      </w:pPr>
      <w:bookmarkStart w:id="40" w:name="bm_cap5_concl"/>
      <w:r>
        <w:rPr>
          <w:b/>
          <w:sz w:val="24"/>
        </w:rPr>
        <w:t>Conclusiones</w:t>
      </w:r>
      <w:bookmarkEnd w:id="40"/>
    </w:p>
    <w:p>
      <w:pPr>
        <w:pStyle w:val="Normal"/>
        <w:spacing w:lineRule="auto" w:line="360"/>
        <w:ind w:firstLine="709"/>
        <w:jc w:val="both"/>
        <w:rPr/>
      </w:pPr>
      <w:r>
        <w:rPr>
          <w:sz w:val="24"/>
        </w:rPr>
        <w:t>1. 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pStyle w:val="Normal"/>
        <w:spacing w:lineRule="auto" w:line="360"/>
        <w:ind w:firstLine="709"/>
        <w:jc w:val="both"/>
        <w:rPr/>
      </w:pPr>
      <w:r>
        <w:rPr>
          <w:sz w:val="24"/>
        </w:rPr>
        <w:t>2. 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pStyle w:val="Normal"/>
        <w:spacing w:lineRule="auto" w:line="360"/>
        <w:ind w:firstLine="709"/>
        <w:jc w:val="both"/>
        <w:rPr/>
      </w:pPr>
      <w:r>
        <w:rPr>
          <w:sz w:val="24"/>
        </w:rPr>
        <w:t>3. 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pStyle w:val="IUTECPTtulo2"/>
        <w:keepNext w:val="true"/>
        <w:keepLines/>
        <w:spacing w:lineRule="auto" w:line="360" w:before="480" w:after="480"/>
        <w:jc w:val="start"/>
        <w:rPr/>
      </w:pPr>
      <w:bookmarkStart w:id="41" w:name="bm_cap5_recom"/>
      <w:r>
        <w:rPr>
          <w:b/>
          <w:sz w:val="24"/>
        </w:rPr>
        <w:t>Recomendaciones</w:t>
      </w:r>
      <w:bookmarkEnd w:id="41"/>
    </w:p>
    <w:p>
      <w:pPr>
        <w:pStyle w:val="Normal"/>
        <w:keepNext w:val="true"/>
        <w:spacing w:before="240" w:after="0"/>
        <w:rPr/>
      </w:pPr>
      <w:r>
        <w:rPr>
          <w:b/>
          <w:sz w:val="24"/>
        </w:rPr>
        <w:t>A la empresa Ingeniería de Telecomunicaciones, C.A.</w:t>
      </w:r>
    </w:p>
    <w:p>
      <w:pPr>
        <w:pStyle w:val="Normal"/>
        <w:spacing w:lineRule="auto" w:line="360"/>
        <w:ind w:firstLine="709"/>
        <w:jc w:val="both"/>
        <w:rPr/>
      </w:pPr>
      <w:r>
        <w:rPr>
          <w:sz w:val="24"/>
        </w:rPr>
        <w:t>1. Implementar progresivamente el flujo estandarizado propuesto y verificar su funcionamiento con un grupo controlado de solicitudes antes de aplicarlo a todos los casos.</w:t>
      </w:r>
    </w:p>
    <w:p>
      <w:pPr>
        <w:pStyle w:val="Normal"/>
        <w:spacing w:lineRule="auto" w:line="360"/>
        <w:ind w:firstLine="709"/>
        <w:jc w:val="both"/>
        <w:rPr/>
      </w:pPr>
      <w:r>
        <w:rPr>
          <w:sz w:val="24"/>
        </w:rPr>
        <w:t>2. Utilizar de manera uniforme los formatos de registro de afiliaciones e incidencias y definir claramente el responsable de actualizar el estatus en cada etapa.</w:t>
      </w:r>
    </w:p>
    <w:p>
      <w:pPr>
        <w:pStyle w:val="Normal"/>
        <w:spacing w:lineRule="auto" w:line="360"/>
        <w:ind w:firstLine="709"/>
        <w:jc w:val="both"/>
        <w:rPr/>
      </w:pPr>
      <w:r>
        <w:rPr>
          <w:sz w:val="24"/>
        </w:rPr>
        <w:t>3. Registrar y revisar periódicamente tiempos de respuesta, solicitudes pendientes y casos cerrados para identificar retrasos recurrentes y aplicar acciones correctivas.</w:t>
      </w:r>
    </w:p>
    <w:p>
      <w:pPr>
        <w:pStyle w:val="Normal"/>
        <w:spacing w:lineRule="auto" w:line="360"/>
        <w:ind w:firstLine="709"/>
        <w:jc w:val="both"/>
        <w:rPr/>
      </w:pPr>
      <w:r>
        <w:rPr>
          <w:sz w:val="24"/>
        </w:rPr>
        <w:t>4. Evaluar posteriormente una herramienta digital centralizada de seguimiento cuando el procedimiento administrativo ya se encuentre formalizado y validado por las áreas involucradas.</w:t>
      </w:r>
    </w:p>
    <w:p>
      <w:pPr>
        <w:pStyle w:val="Normal"/>
        <w:keepNext w:val="true"/>
        <w:spacing w:before="240" w:after="0"/>
        <w:rPr/>
      </w:pPr>
      <w:r>
        <w:rPr>
          <w:b/>
          <w:sz w:val="24"/>
        </w:rPr>
        <w:t>Al Instituto Universitario de Tecnología “Elías Calixto Pompa” (IUTECP).</w:t>
      </w:r>
    </w:p>
    <w:p>
      <w:pPr>
        <w:pStyle w:val="Normal"/>
        <w:spacing w:lineRule="auto" w:line="360"/>
        <w:ind w:firstLine="709"/>
        <w:jc w:val="both"/>
        <w:rPr/>
      </w:pPr>
      <w:r>
        <w:rPr>
          <w:sz w:val="24"/>
        </w:rPr>
        <w:t>1. Continuar fortaleciendo el acompañamiento académico durante las pasantías y la articulación entre los conocimientos adquiridos en la carrera y las situaciones administrativas observadas en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7"/>
          <w:footerReference w:type="default" r:id="rId58"/>
          <w:footerReference w:type="first" r:id="rId59"/>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1. 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2" w:name="bm_referencias"/>
      <w:r>
        <w:rPr>
          <w:b/>
          <w:sz w:val="24"/>
        </w:rPr>
        <w:t>REFERENCIAS</w:t>
      </w:r>
      <w:bookmarkEnd w:id="42"/>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Laudon, K., y Laudon, J. (2016). </w:t>
      </w:r>
      <w:r>
        <w:rPr>
          <w:b/>
          <w:sz w:val="24"/>
        </w:rPr>
        <w:t>Sistemas de información gerencial (14va ed.)</w:t>
      </w:r>
      <w:r>
        <w:rPr>
          <w:b w:val="false"/>
          <w:sz w:val="24"/>
        </w:rPr>
        <w:t>. Pearson Educación, México.</w:t>
      </w:r>
    </w:p>
    <w:p>
      <w:pPr>
        <w:pStyle w:val="Normal"/>
        <w:spacing w:lineRule="auto" w:line="240" w:before="0" w:after="480"/>
        <w:ind w:hanging="425" w:start="425"/>
        <w:jc w:val="both"/>
        <w:rPr/>
      </w:pPr>
      <w:r>
        <w:rPr>
          <w:b w:val="false"/>
          <w:sz w:val="24"/>
        </w:rPr>
        <w:t xml:space="preserve">Parasuraman, A., Zeithaml, V., y Berry, L. (1988). </w:t>
      </w:r>
      <w:r>
        <w:rPr>
          <w:b/>
          <w:sz w:val="24"/>
        </w:rPr>
        <w:t>SERVQUAL: A multiple-item scale for measuring consumer perceptions of service quality</w:t>
      </w:r>
      <w:r>
        <w:rPr>
          <w:b w:val="false"/>
          <w:sz w:val="24"/>
        </w:rPr>
        <w:t>. Journal of Retailing, 64(1), 12-40.</w:t>
      </w:r>
    </w:p>
    <w:p>
      <w:pPr>
        <w:pStyle w:val="Normal"/>
        <w:spacing w:lineRule="auto" w:line="240" w:before="0" w:after="480"/>
        <w:ind w:hanging="425" w:start="425"/>
        <w:jc w:val="both"/>
        <w:rPr/>
      </w:pPr>
      <w:r>
        <w:rPr>
          <w:b w:val="false"/>
          <w:sz w:val="24"/>
        </w:rPr>
        <w:t xml:space="preserve">Robbins, S., y Coulter, M. (2010). </w:t>
      </w:r>
      <w:r>
        <w:rPr>
          <w:b/>
          <w:sz w:val="24"/>
        </w:rPr>
        <w:t>Administración (10ma ed.)</w:t>
      </w:r>
      <w:r>
        <w:rPr>
          <w:b w:val="false"/>
          <w:sz w:val="24"/>
        </w:rPr>
        <w:t>. Pearson Educación, México.</w:t>
      </w:r>
    </w:p>
    <w:p>
      <w:pPr>
        <w:pStyle w:val="Normal"/>
        <w:spacing w:lineRule="auto" w:line="240" w:before="0" w:after="0"/>
        <w:ind w:hanging="425" w:start="425"/>
        <w:jc w:val="both"/>
        <w:rPr/>
        <w:sectPr>
          <w:footerReference w:type="even" r:id="rId60"/>
          <w:footerReference w:type="default" r:id="rId61"/>
          <w:footerReference w:type="first" r:id="rId62"/>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Zeithaml, V., Parasuraman, A., y Berry, L. (1993). </w:t>
      </w:r>
      <w:r>
        <w:rPr>
          <w:b/>
          <w:sz w:val="24"/>
        </w:rPr>
        <w:t>Calidad total en la gestión de servicios</w:t>
      </w:r>
      <w:r>
        <w:rPr>
          <w:b w:val="false"/>
          <w:sz w:val="24"/>
        </w:rPr>
        <w:t>. Díaz de Santos, España.</w:t>
      </w:r>
    </w:p>
    <w:p>
      <w:pPr>
        <w:pStyle w:val="Normal"/>
        <w:spacing w:before="6075" w:after="0"/>
        <w:jc w:val="center"/>
        <w:rPr/>
        <w:sectPr>
          <w:footerReference w:type="even" r:id="rId63"/>
          <w:footerReference w:type="default" r:id="rId64"/>
          <w:footerReference w:type="first" r:id="rId65"/>
          <w:type w:val="nextPage"/>
          <w:pgSz w:w="12240" w:h="15840"/>
          <w:pgMar w:left="2268" w:right="1701" w:gutter="0" w:header="0" w:top="1701" w:footer="720" w:bottom="1701"/>
          <w:pgNumType w:fmt="decimal"/>
          <w:formProt w:val="false"/>
          <w:textDirection w:val="lrTb"/>
          <w:docGrid w:type="default" w:linePitch="360" w:charSpace="0"/>
        </w:sectPr>
      </w:pPr>
      <w:bookmarkStart w:id="43" w:name="bm_anexos"/>
      <w:r>
        <w:rPr>
          <w:b/>
          <w:sz w:val="24"/>
        </w:rPr>
        <w:t>ANEXOS</w:t>
      </w:r>
      <w:bookmarkEnd w:id="43"/>
    </w:p>
    <w:p>
      <w:pPr>
        <w:pStyle w:val="Normal"/>
        <w:keepNext w:val="true"/>
        <w:keepLines/>
        <w:spacing w:before="0" w:after="480"/>
        <w:jc w:val="center"/>
        <w:rPr/>
      </w:pPr>
      <w:bookmarkStart w:id="44" w:name="bm_anexoA"/>
      <w:bookmarkEnd w:id="44"/>
      <w:r>
        <w:rPr>
          <w:b/>
          <w:sz w:val="20"/>
        </w:rPr>
        <w:t>ANEXO A</w:t>
      </w:r>
    </w:p>
    <w:p>
      <w:pPr>
        <w:pStyle w:val="Normal"/>
        <w:keepNext w:val="true"/>
        <w:keepLines/>
        <w:spacing w:before="240" w:after="480"/>
        <w:jc w:val="center"/>
        <w:rPr/>
      </w:pPr>
      <w:r>
        <w:rPr>
          <w:b/>
          <w:sz w:val="20"/>
        </w:rPr>
        <w:t>[Flujograma del proceso propuesto de gestión de solicitudes de servicios]</w:t>
      </w:r>
    </w:p>
    <w:p>
      <w:pPr>
        <w:pStyle w:val="Normal"/>
        <w:keepNext w:val="true"/>
        <w:keepLines/>
        <w:jc w:val="center"/>
        <w:rPr/>
      </w:pPr>
      <w:r>
        <w:rPr/>
        <w:drawing>
          <wp:inline distT="0" distB="0" distL="0" distR="0">
            <wp:extent cx="1065530" cy="48602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6"/>
                    <a:stretch>
                      <a:fillRect/>
                    </a:stretch>
                  </pic:blipFill>
                  <pic:spPr bwMode="auto">
                    <a:xfrm>
                      <a:off x="0" y="0"/>
                      <a:ext cx="1065530" cy="4860290"/>
                    </a:xfrm>
                    <a:prstGeom prst="rect">
                      <a:avLst/>
                    </a:prstGeom>
                    <a:noFill/>
                  </pic:spPr>
                </pic:pic>
              </a:graphicData>
            </a:graphic>
          </wp:inline>
        </w:drawing>
      </w:r>
    </w:p>
    <w:p>
      <w:pPr>
        <w:pStyle w:val="Normal"/>
        <w:spacing w:lineRule="auto" w:line="240" w:before="0" w:after="0"/>
        <w:ind w:hanging="0"/>
        <w:jc w:val="center"/>
        <w:rPr/>
        <w:sectPr>
          <w:footerReference w:type="even" r:id="rId67"/>
          <w:footerReference w:type="default" r:id="rId68"/>
          <w:footerReference w:type="first" r:id="rId69"/>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5" w:name="bm_anexoB"/>
      <w:bookmarkEnd w:id="45"/>
      <w:r>
        <w:rPr>
          <w:b/>
          <w:sz w:val="20"/>
        </w:rPr>
        <w:t>ANEXO B</w:t>
      </w:r>
    </w:p>
    <w:p>
      <w:pPr>
        <w:pStyle w:val="Normal"/>
        <w:keepNext w:val="true"/>
        <w:keepLines/>
        <w:spacing w:before="240" w:after="480"/>
        <w:jc w:val="center"/>
        <w:rPr/>
      </w:pPr>
      <w:r>
        <w:rPr>
          <w:b/>
          <w:sz w:val="20"/>
        </w:rPr>
        <w:t>[Diagrama de Ishikawa del control de solicitudes]</w:t>
      </w:r>
    </w:p>
    <w:p>
      <w:pPr>
        <w:pStyle w:val="Normal"/>
        <w:keepNext w:val="true"/>
        <w:keepLines/>
        <w:jc w:val="center"/>
        <w:rPr/>
      </w:pPr>
      <w:r>
        <w:rPr/>
        <w:drawing>
          <wp:inline distT="0" distB="0" distL="0" distR="0">
            <wp:extent cx="4679950" cy="120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0"/>
                    <a:stretch>
                      <a:fillRect/>
                    </a:stretch>
                  </pic:blipFill>
                  <pic:spPr bwMode="auto">
                    <a:xfrm>
                      <a:off x="0" y="0"/>
                      <a:ext cx="4679950" cy="1208405"/>
                    </a:xfrm>
                    <a:prstGeom prst="rect">
                      <a:avLst/>
                    </a:prstGeom>
                    <a:noFill/>
                  </pic:spPr>
                </pic:pic>
              </a:graphicData>
            </a:graphic>
          </wp:inline>
        </w:drawing>
      </w:r>
    </w:p>
    <w:p>
      <w:pPr>
        <w:pStyle w:val="Normal"/>
        <w:spacing w:lineRule="auto" w:line="240" w:before="0" w:after="0"/>
        <w:ind w:hanging="0"/>
        <w:jc w:val="center"/>
        <w:rPr/>
        <w:sectPr>
          <w:footerReference w:type="even" r:id="rId71"/>
          <w:footerReference w:type="default" r:id="rId72"/>
          <w:footerReference w:type="first" r:id="rId73"/>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6" w:name="bm_anexoC"/>
      <w:bookmarkEnd w:id="46"/>
      <w:r>
        <w:rPr>
          <w:b/>
          <w:sz w:val="20"/>
        </w:rPr>
        <w:t>ANEXO C</w:t>
      </w:r>
    </w:p>
    <w:p>
      <w:pPr>
        <w:pStyle w:val="Normal"/>
        <w:keepNext w:val="true"/>
        <w:keepLines/>
        <w:spacing w:before="240" w:after="480"/>
        <w:jc w:val="center"/>
        <w:rPr/>
      </w:pPr>
      <w:r>
        <w:rPr>
          <w:b/>
          <w:sz w:val="20"/>
        </w:rPr>
        <w:t>[Flujograma AS-IS de afiliaciones e incidencias]</w:t>
      </w:r>
    </w:p>
    <w:p>
      <w:pPr>
        <w:pStyle w:val="Normal"/>
        <w:keepNext w:val="true"/>
        <w:keepLines/>
        <w:jc w:val="center"/>
        <w:rPr/>
      </w:pPr>
      <w:r>
        <w:rPr/>
        <w:drawing>
          <wp:inline distT="0" distB="0" distL="0" distR="0">
            <wp:extent cx="2550795" cy="5400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4"/>
                    <a:stretch>
                      <a:fillRect/>
                    </a:stretch>
                  </pic:blipFill>
                  <pic:spPr bwMode="auto">
                    <a:xfrm>
                      <a:off x="0" y="0"/>
                      <a:ext cx="2550795" cy="5400040"/>
                    </a:xfrm>
                    <a:prstGeom prst="rect">
                      <a:avLst/>
                    </a:prstGeom>
                    <a:noFill/>
                  </pic:spPr>
                </pic:pic>
              </a:graphicData>
            </a:graphic>
          </wp:inline>
        </w:drawing>
      </w:r>
    </w:p>
    <w:p>
      <w:pPr>
        <w:pStyle w:val="Normal"/>
        <w:spacing w:lineRule="auto" w:line="240" w:before="0" w:after="0"/>
        <w:ind w:hanging="0"/>
        <w:jc w:val="center"/>
        <w:rPr/>
        <w:sectPr>
          <w:footerReference w:type="even" r:id="rId75"/>
          <w:footerReference w:type="default" r:id="rId76"/>
          <w:footerReference w:type="first" r:id="rId77"/>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7" w:name="bm_anexoD"/>
      <w:bookmarkEnd w:id="47"/>
      <w:r>
        <w:rPr>
          <w:b/>
          <w:sz w:val="20"/>
        </w:rPr>
        <w:t>ANEXO D</w:t>
      </w:r>
    </w:p>
    <w:p>
      <w:pPr>
        <w:pStyle w:val="Normal"/>
        <w:keepNext w:val="true"/>
        <w:keepLines/>
        <w:spacing w:before="240" w:after="480"/>
        <w:jc w:val="center"/>
        <w:rPr/>
      </w:pPr>
      <w:r>
        <w:rPr>
          <w:b/>
          <w:sz w:val="20"/>
        </w:rPr>
        <w:t>[Swimlane interdepartamental de gestión de solicitudes]</w:t>
      </w:r>
    </w:p>
    <w:p>
      <w:pPr>
        <w:pStyle w:val="Normal"/>
        <w:keepNext w:val="true"/>
        <w:keepLines/>
        <w:jc w:val="center"/>
        <w:rPr/>
      </w:pPr>
      <w:r>
        <w:rPr/>
        <w:drawing>
          <wp:inline distT="0" distB="0" distL="0" distR="0">
            <wp:extent cx="5039995" cy="2942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8"/>
                    <a:stretch>
                      <a:fillRect/>
                    </a:stretch>
                  </pic:blipFill>
                  <pic:spPr bwMode="auto">
                    <a:xfrm>
                      <a:off x="0" y="0"/>
                      <a:ext cx="5039995" cy="2942590"/>
                    </a:xfrm>
                    <a:prstGeom prst="rect">
                      <a:avLst/>
                    </a:prstGeom>
                    <a:noFill/>
                  </pic:spPr>
                </pic:pic>
              </a:graphicData>
            </a:graphic>
          </wp:inline>
        </w:drawing>
      </w:r>
    </w:p>
    <w:p>
      <w:pPr>
        <w:pStyle w:val="Normal"/>
        <w:spacing w:lineRule="auto" w:line="240" w:before="0" w:after="0"/>
        <w:ind w:hanging="0"/>
        <w:jc w:val="center"/>
        <w:rPr/>
        <w:sectPr>
          <w:footerReference w:type="even" r:id="rId79"/>
          <w:footerReference w:type="default" r:id="rId80"/>
          <w:footerReference w:type="first" r:id="rId81"/>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8" w:name="bm_anexoE"/>
      <w:bookmarkEnd w:id="48"/>
      <w:r>
        <w:rPr>
          <w:b/>
          <w:sz w:val="20"/>
        </w:rPr>
        <w:t>ANEXO E</w:t>
      </w:r>
    </w:p>
    <w:p>
      <w:pPr>
        <w:pStyle w:val="Normal"/>
        <w:keepNext w:val="true"/>
        <w:keepLines/>
        <w:spacing w:before="240" w:after="480"/>
        <w:jc w:val="center"/>
        <w:rPr/>
      </w:pPr>
      <w:r>
        <w:rPr>
          <w:b/>
          <w:sz w:val="20"/>
        </w:rPr>
        <w:t>[Estados de una solicitud de servicio]</w:t>
      </w:r>
    </w:p>
    <w:p>
      <w:pPr>
        <w:pStyle w:val="Normal"/>
        <w:keepNext w:val="true"/>
        <w:keepLines/>
        <w:jc w:val="center"/>
        <w:rPr/>
      </w:pPr>
      <w:r>
        <w:rPr/>
        <w:drawing>
          <wp:inline distT="0" distB="0" distL="0" distR="0">
            <wp:extent cx="4679950" cy="2219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2"/>
                    <a:stretch>
                      <a:fillRect/>
                    </a:stretch>
                  </pic:blipFill>
                  <pic:spPr bwMode="auto">
                    <a:xfrm>
                      <a:off x="0" y="0"/>
                      <a:ext cx="4679950" cy="2219960"/>
                    </a:xfrm>
                    <a:prstGeom prst="rect">
                      <a:avLst/>
                    </a:prstGeom>
                    <a:noFill/>
                  </pic:spPr>
                </pic:pic>
              </a:graphicData>
            </a:graphic>
          </wp:inline>
        </w:drawing>
      </w:r>
    </w:p>
    <w:p>
      <w:pPr>
        <w:pStyle w:val="Normal"/>
        <w:spacing w:lineRule="auto" w:line="240" w:before="0" w:after="0"/>
        <w:ind w:hanging="0"/>
        <w:jc w:val="center"/>
        <w:rPr/>
        <w:sectPr>
          <w:footerReference w:type="even" r:id="rId83"/>
          <w:footerReference w:type="default" r:id="rId84"/>
          <w:footerReference w:type="first" r:id="rId85"/>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9" w:name="bm_anexoF"/>
      <w:bookmarkEnd w:id="49"/>
      <w:r>
        <w:rPr>
          <w:b/>
          <w:sz w:val="20"/>
        </w:rPr>
        <w:t>ANEXO F</w:t>
      </w:r>
    </w:p>
    <w:p>
      <w:pPr>
        <w:pStyle w:val="Normal"/>
        <w:keepNext w:val="true"/>
        <w:keepLines/>
        <w:spacing w:before="240" w:after="480"/>
        <w:jc w:val="center"/>
        <w:rPr/>
      </w:pPr>
      <w:r>
        <w:rPr>
          <w:b/>
          <w:sz w:val="20"/>
        </w:rPr>
        <w:t>[Comunicación interdepartamental]</w:t>
      </w:r>
    </w:p>
    <w:p>
      <w:pPr>
        <w:pStyle w:val="Normal"/>
        <w:keepNext w:val="true"/>
        <w:keepLines/>
        <w:jc w:val="center"/>
        <w:rPr/>
      </w:pPr>
      <w:r>
        <w:rPr/>
        <w:drawing>
          <wp:inline distT="0" distB="0" distL="0" distR="0">
            <wp:extent cx="3651885" cy="4679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6"/>
                    <a:stretch>
                      <a:fillRect/>
                    </a:stretch>
                  </pic:blipFill>
                  <pic:spPr bwMode="auto">
                    <a:xfrm>
                      <a:off x="0" y="0"/>
                      <a:ext cx="3651885" cy="4679950"/>
                    </a:xfrm>
                    <a:prstGeom prst="rect">
                      <a:avLst/>
                    </a:prstGeom>
                    <a:noFill/>
                  </pic:spPr>
                </pic:pic>
              </a:graphicData>
            </a:graphic>
          </wp:inline>
        </w:drawing>
      </w:r>
    </w:p>
    <w:p>
      <w:pPr>
        <w:pStyle w:val="Normal"/>
        <w:spacing w:lineRule="auto" w:line="240" w:before="0" w:after="0"/>
        <w:ind w:hanging="0"/>
        <w:jc w:val="center"/>
        <w:rPr/>
        <w:sectPr>
          <w:footerReference w:type="even" r:id="rId87"/>
          <w:footerReference w:type="default" r:id="rId88"/>
          <w:footerReference w:type="first" r:id="rId89"/>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50" w:name="bm_anexoG"/>
      <w:bookmarkEnd w:id="50"/>
      <w:r>
        <w:rPr>
          <w:b/>
          <w:sz w:val="20"/>
        </w:rPr>
        <w:t>ANEXO G</w:t>
      </w:r>
    </w:p>
    <w:p>
      <w:pPr>
        <w:pStyle w:val="Normal"/>
        <w:keepNext w:val="true"/>
        <w:keepLines/>
        <w:spacing w:before="240" w:after="480"/>
        <w:jc w:val="center"/>
        <w:rPr/>
      </w:pPr>
      <w:r>
        <w:rPr>
          <w:b/>
          <w:sz w:val="20"/>
        </w:rPr>
        <w:t>[Comparación AS-IS y TO-BE del control de solicitudes]</w:t>
      </w:r>
    </w:p>
    <w:p>
      <w:pPr>
        <w:pStyle w:val="Normal"/>
        <w:keepNext w:val="true"/>
        <w:keepLines/>
        <w:jc w:val="center"/>
        <w:rPr/>
      </w:pPr>
      <w:r>
        <w:rPr/>
        <w:drawing>
          <wp:inline distT="0" distB="0" distL="0" distR="0">
            <wp:extent cx="4679950" cy="4679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90"/>
                    <a:stretch>
                      <a:fillRect/>
                    </a:stretch>
                  </pic:blipFill>
                  <pic:spPr bwMode="auto">
                    <a:xfrm>
                      <a:off x="0" y="0"/>
                      <a:ext cx="4679950" cy="4679950"/>
                    </a:xfrm>
                    <a:prstGeom prst="rect">
                      <a:avLst/>
                    </a:prstGeom>
                    <a:noFill/>
                  </pic:spPr>
                </pic:pic>
              </a:graphicData>
            </a:graphic>
          </wp:inline>
        </w:drawing>
      </w:r>
    </w:p>
    <w:p>
      <w:pPr>
        <w:pStyle w:val="Normal"/>
        <w:spacing w:lineRule="auto" w:line="240" w:before="0" w:after="0"/>
        <w:ind w:hanging="0"/>
        <w:jc w:val="center"/>
        <w:rPr/>
        <w:sectPr>
          <w:footerReference w:type="even" r:id="rId91"/>
          <w:footerReference w:type="default" r:id="rId92"/>
          <w:footerReference w:type="first" r:id="rId93"/>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51" w:name="bm_anexoH"/>
      <w:bookmarkEnd w:id="51"/>
      <w:r>
        <w:rPr>
          <w:b/>
          <w:sz w:val="20"/>
        </w:rPr>
        <w:t>ANEXO H</w:t>
      </w:r>
    </w:p>
    <w:p>
      <w:pPr>
        <w:pStyle w:val="Normal"/>
        <w:keepNext w:val="true"/>
        <w:keepLines/>
        <w:spacing w:before="240" w:after="480"/>
        <w:jc w:val="center"/>
        <w:rPr/>
      </w:pPr>
      <w:r>
        <w:rPr>
          <w:b/>
          <w:sz w:val="20"/>
        </w:rPr>
        <w:t>[Diagrama de Ishikawa del control y trazabilidad de las solicitudes de servicio]</w:t>
      </w:r>
    </w:p>
    <w:p>
      <w:pPr>
        <w:pStyle w:val="Normal"/>
        <w:keepNext w:val="true"/>
        <w:keepLines/>
        <w:jc w:val="center"/>
        <w:rPr/>
      </w:pPr>
      <w:r>
        <w:rPr/>
        <w:drawing>
          <wp:inline distT="0" distB="0" distL="0" distR="0">
            <wp:extent cx="4679950" cy="42646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94"/>
                    <a:stretch>
                      <a:fillRect/>
                    </a:stretch>
                  </pic:blipFill>
                  <pic:spPr bwMode="auto">
                    <a:xfrm>
                      <a:off x="0" y="0"/>
                      <a:ext cx="4679950" cy="4264660"/>
                    </a:xfrm>
                    <a:prstGeom prst="rect">
                      <a:avLst/>
                    </a:prstGeom>
                    <a:noFill/>
                  </pic:spPr>
                </pic:pic>
              </a:graphicData>
            </a:graphic>
          </wp:inline>
        </w:drawing>
      </w:r>
    </w:p>
    <w:p>
      <w:pPr>
        <w:pStyle w:val="Normal"/>
        <w:spacing w:lineRule="auto" w:line="240" w:before="0" w:after="0"/>
        <w:ind w:hanging="0"/>
        <w:jc w:val="center"/>
        <w:rPr/>
        <w:sectPr>
          <w:footerReference w:type="even" r:id="rId95"/>
          <w:footerReference w:type="default" r:id="rId96"/>
          <w:footerReference w:type="first" r:id="rId97"/>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52" w:name="bm_anexoI"/>
      <w:bookmarkEnd w:id="52"/>
      <w:r>
        <w:rPr>
          <w:b/>
          <w:sz w:val="20"/>
        </w:rPr>
        <w:t>ANEXO I</w:t>
      </w:r>
    </w:p>
    <w:p>
      <w:pPr>
        <w:pStyle w:val="Normal"/>
        <w:keepNext w:val="true"/>
        <w:keepLines/>
        <w:spacing w:before="240" w:after="480"/>
        <w:jc w:val="center"/>
        <w:rPr/>
      </w:pPr>
      <w:r>
        <w:rPr>
          <w:b/>
          <w:sz w:val="20"/>
        </w:rPr>
        <w:t>[Memoria fotográfica de las actividades realizadas]</w:t>
      </w:r>
    </w:p>
    <w:p>
      <w:pPr>
        <w:pStyle w:val="Normal"/>
        <w:keepNext w:val="true"/>
        <w:keepLines/>
        <w:jc w:val="center"/>
        <w:rPr/>
      </w:pPr>
      <w:r>
        <w:rPr/>
        <w:drawing>
          <wp:inline distT="0" distB="0" distL="0" distR="0">
            <wp:extent cx="4860290" cy="3644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98"/>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1. Registro de actividades administrativas frente al equipo de trabajo.</w:t>
      </w:r>
      <w:r>
        <w:br w:type="page"/>
      </w:r>
    </w:p>
    <w:p>
      <w:pPr>
        <w:pStyle w:val="Normal"/>
        <w:keepNext w:val="true"/>
        <w:keepLines/>
        <w:jc w:val="center"/>
        <w:rPr/>
      </w:pPr>
      <w:r>
        <w:rPr/>
        <w:drawing>
          <wp:inline distT="0" distB="0" distL="0" distR="0">
            <wp:extent cx="4860290" cy="36449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99"/>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2. Vista general del espacio de trabajo del área administrativa.</w:t>
      </w:r>
      <w:r>
        <w:br w:type="page"/>
      </w:r>
    </w:p>
    <w:p>
      <w:pPr>
        <w:pStyle w:val="Normal"/>
        <w:keepNext w:val="true"/>
        <w:keepLines/>
        <w:jc w:val="center"/>
        <w:rPr/>
      </w:pPr>
      <w:r>
        <w:rPr/>
        <w:drawing>
          <wp:inline distT="0" distB="0" distL="0" distR="0">
            <wp:extent cx="3780155" cy="50399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00"/>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3. Verificación de información en los registros administrativos del área.</w:t>
      </w:r>
      <w:r>
        <w:br w:type="page"/>
      </w:r>
    </w:p>
    <w:p>
      <w:pPr>
        <w:pStyle w:val="Normal"/>
        <w:keepNext w:val="true"/>
        <w:keepLines/>
        <w:jc w:val="center"/>
        <w:rPr/>
      </w:pPr>
      <w:r>
        <w:rPr/>
        <w:drawing>
          <wp:inline distT="0" distB="0" distL="0" distR="0">
            <wp:extent cx="4860290" cy="36449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01"/>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4. Puesto de trabajo utilizado para la gestión de información administrativa.</w:t>
      </w:r>
      <w:r>
        <w:br w:type="page"/>
      </w:r>
    </w:p>
    <w:p>
      <w:pPr>
        <w:pStyle w:val="Normal"/>
        <w:keepNext w:val="true"/>
        <w:keepLines/>
        <w:jc w:val="center"/>
        <w:rPr/>
      </w:pPr>
      <w:r>
        <w:rPr/>
        <w:drawing>
          <wp:inline distT="0" distB="0" distL="0" distR="0">
            <wp:extent cx="3780155" cy="50399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02"/>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5. Revisión de registros y documentos desde el puesto de trabajo.</w:t>
      </w:r>
      <w:r>
        <w:br w:type="page"/>
      </w:r>
    </w:p>
    <w:p>
      <w:pPr>
        <w:pStyle w:val="Normal"/>
        <w:keepNext w:val="true"/>
        <w:keepLines/>
        <w:jc w:val="center"/>
        <w:rPr/>
      </w:pPr>
      <w:r>
        <w:rPr/>
        <w:drawing>
          <wp:inline distT="0" distB="0" distL="0" distR="0">
            <wp:extent cx="3780155" cy="5039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03"/>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6. Revisión de información de pagos y soportes documentales.</w:t>
      </w:r>
      <w:r>
        <w:br w:type="page"/>
      </w:r>
    </w:p>
    <w:p>
      <w:pPr>
        <w:pStyle w:val="Normal"/>
        <w:keepNext w:val="true"/>
        <w:keepLines/>
        <w:jc w:val="center"/>
        <w:rPr/>
      </w:pPr>
      <w:r>
        <w:rPr/>
        <w:drawing>
          <wp:inline distT="0" distB="0" distL="0" distR="0">
            <wp:extent cx="3780155" cy="50399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04"/>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7. Puesto de trabajo del área administrativa.</w:t>
      </w:r>
      <w:r>
        <w:br w:type="page"/>
      </w:r>
    </w:p>
    <w:p>
      <w:pPr>
        <w:pStyle w:val="Normal"/>
        <w:keepNext w:val="true"/>
        <w:keepLines/>
        <w:jc w:val="center"/>
        <w:rPr/>
      </w:pPr>
      <w:r>
        <w:rPr/>
        <w:drawing>
          <wp:inline distT="0" distB="0" distL="0" distR="0">
            <wp:extent cx="3780155" cy="50399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05"/>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8. Puesto de trabajo y equipo utilizado durante la pasantía.</w:t>
      </w:r>
    </w:p>
    <w:p>
      <w:pPr>
        <w:pStyle w:val="Normal"/>
        <w:spacing w:lineRule="auto" w:line="240" w:before="0" w:after="240"/>
        <w:ind w:hanging="0"/>
        <w:jc w:val="center"/>
        <w:rPr/>
      </w:pPr>
      <w:r>
        <w:rPr>
          <w:i/>
          <w:sz w:val="20"/>
        </w:rPr>
        <w:t xml:space="preserve">Fuente: </w:t>
      </w:r>
      <w:r>
        <w:rPr>
          <w:sz w:val="20"/>
        </w:rPr>
        <w:t>Registro fotográfico suministrado por la autora (2026).</w:t>
      </w:r>
      <w:r>
        <w:br w:type="page"/>
      </w:r>
    </w:p>
    <w:p>
      <w:pPr>
        <w:pStyle w:val="Normal"/>
        <w:spacing w:lineRule="auto" w:line="240" w:before="0" w:after="240"/>
        <w:ind w:hanging="0"/>
        <w:jc w:val="center"/>
        <w:rPr>
          <w:rFonts w:ascii="Times New Roman" w:hAnsi="Times New Roman"/>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01 al 05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Realizar la inducción institucional y reconocer el funcionamiento de Atención al Cliente, identificando cómo se reciben pagos y solicitudes de los suscriptores.</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Inducción y recorrido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Conocer las instalaciones, normas internas y áreas vinculadas con la atención de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inducción, cuaderno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 Atención al Cliente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las funciones del puesto y los tipos de requerimientos recibidos.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y apoyar el registro de pagos reportados por los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cómo se reciben solicitudes de afiliación e incidencias.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y 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el recorrido básico de la información desde el contacto con el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esquema preliminar del flujo observado en Atención al Cliente.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buena disposición durante el proceso de inducción, adaptándose adecuadamente a las normas internas y demostrando interés en conocer el funcionamiento de Atención al Cliente y el manejo de las solicitudes de los suscriptores.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106"/>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
                          <pic:cNvPicPr>
                            <a:picLocks noChangeAspect="1" noChangeArrowheads="1"/>
                          </pic:cNvPicPr>
                        </pic:nvPicPr>
                        <pic:blipFill>
                          <a:blip r:embed="rId107"/>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pic:cNvPicPr>
                      <a:picLocks noChangeAspect="1" noChangeArrowheads="1"/>
                    </pic:cNvPicPr>
                  </pic:nvPicPr>
                  <pic:blipFill>
                    <a:blip r:embed="rId108"/>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las actividades de Atención al Cliente y levantar el recorrido de las solicitudes de afiliación e incidencias.</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de pagos informados por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Atención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datos básicos de afiliaciones e incidencias reportadas.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solicitudes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documentación básica asociada a solicitudes de servicio.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de clientes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hacia qué áreas se remiten los diferentes tipos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flujo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puntos donde la información cambia de responsable o pierde continuidad.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actividades de atención y mapa preliminar del proceso de solicitudes.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organización en el registro de pagos, revisión de expedientes y seguimiento inicial de las solicitudes recibidas.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109"/>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110"/>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111"/>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Continuar el apoyo en Atención al Cliente y diseñar la guía de entrevista estructurada para evaluar el seguimiento administrativo de las solicitudes.</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 y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Continuar el apoyo en recepción de pagos y requerimientos de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comprobantes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inicial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solicitudes remitidas a otras áreas.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 guía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Preparar preguntas sobre recepción, actualización, comunicación y cierre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la pertinencia de la guía y realizar ajustes antes de aplicarla.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Planificación de aplicación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las personas y momentos adecuados para aplicar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Guía de entrevista estructurada y registro actualizado del flujo observado.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capacidad de organización al continuar el seguimiento de los casos y preparar la guía de entrevista, mostrando receptividad ante las recomendaciones realizadas para mejorar el instrumento.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112"/>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113"/>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114"/>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Iniciar la rotación por Administración, apoyar pagos y facturación, y aplicar entrevistas estructuradas para identificar deficiencias de control.</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Rotación a Administración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funciones administrativas relacionadas con pagos, facturación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administrativo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tareas de facturación y verificación de datos.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sistema de registro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estructurada al personal vinculado con el proceso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respuestas sobre demoras, comunicación y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Guías de entrevista aplicadas y matriz preliminar de hallazgos.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se integró adecuadamente al Departamento de Administración, mostrando responsabilidad en las actividades de pagos y facturación. Aplicó las entrevistas de manera organizada y registró correctamente los principales hallazgos identificados.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115"/>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116"/>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3"/>
                    <pic:cNvPicPr>
                      <a:picLocks noChangeAspect="1" noChangeArrowheads="1"/>
                    </pic:cNvPicPr>
                  </pic:nvPicPr>
                  <pic:blipFill>
                    <a:blip r:embed="rId117"/>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Completar el diagnóstico de las deficiencias del control administrativo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facturación, actualización de registros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documentos administrativos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registros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Contrastar solicitudes e incidencias para detectar retrasos y datos faltantes.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históricos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Representar las causas asociadas con procedimiento, comunicación, registro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las causas con las principales manifestaciones observadas.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Bases teóricas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Iniciar la redacción del Capítulo III sobre control administrativo y gestión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Bibliografía, 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Diagnóstico situacional, diagrama de Ishikawa y avance del marco teórico.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demostró capacidad de análisis al identificar y organizar las causas asociadas con las deficiencias del control administrativo, desarrollando de forma adecuada el diagrama de Ishikawa y relacionándolo con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4"/>
                          <pic:cNvPicPr>
                            <a:picLocks noChangeAspect="1" noChangeArrowheads="1"/>
                          </pic:cNvPicPr>
                        </pic:nvPicPr>
                        <pic:blipFill>
                          <a:blip r:embed="rId118"/>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5"/>
                          <pic:cNvPicPr>
                            <a:picLocks noChangeAspect="1" noChangeArrowheads="1"/>
                          </pic:cNvPicPr>
                        </pic:nvPicPr>
                        <pic:blipFill>
                          <a:blip r:embed="rId119"/>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6"/>
                    <pic:cNvPicPr>
                      <a:picLocks noChangeAspect="1" noChangeArrowheads="1"/>
                    </pic:cNvPicPr>
                  </pic:nvPicPr>
                  <pic:blipFill>
                    <a:blip r:embed="rId120"/>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el impacto de las deficiencias detectadas y consolidar las bases teóricas del informe.</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conciliación y registro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y verificación de documentos de facturación.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incidencias y solicitudes pendientes para comparar tiempos de atención.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impacto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los retrasos con problemas de trazabilidad y atención al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matriz de análisis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Marco teórico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y revisar las bases teóricas y referencias utilizadas.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Análisis de impacto y Capítulo III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las actividades asignadas con responsabilidad, mostrando capacidad para relacionar las deficiencias identificadas con sus efectos sobre la trazabilidad y atención de las solicitudes, manteniendo además un buen desempeño en las labores administrativas.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7"/>
                          <pic:cNvPicPr>
                            <a:picLocks noChangeAspect="1" noChangeArrowheads="1"/>
                          </pic:cNvPicPr>
                        </pic:nvPicPr>
                        <pic:blipFill>
                          <a:blip r:embed="rId121"/>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pic:cNvPicPr>
                            <a:picLocks noChangeAspect="1" noChangeArrowheads="1"/>
                          </pic:cNvPicPr>
                        </pic:nvPicPr>
                        <pic:blipFill>
                          <a:blip r:embed="rId122"/>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9"/>
                    <pic:cNvPicPr>
                      <a:picLocks noChangeAspect="1" noChangeArrowheads="1"/>
                    </pic:cNvPicPr>
                  </pic:nvPicPr>
                  <pic:blipFill>
                    <a:blip r:embed="rId123"/>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estandarizado de gestión de solicitudes y continuar el apoyo en las tareas administrativas del área.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registros de solicitudes y casos activos.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reportes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de reportes administrativos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 secuencia propuesta desde la recepción hasta el cierre del caso.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Responsables por etapa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Asignar el área responsable de registrar o actualizar cada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verificaciones y tiempos de referencia para el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Flujograma preliminar con etapas, responsables y puntos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iniciativa en el diseño del flujo estandarizado, identificando de manera coherente las etapas, responsables y puntos de control necesarios. Asimismo, mantuvo una participación constante en las actividades administrativas del departamento.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0"/>
                          <pic:cNvPicPr>
                            <a:picLocks noChangeAspect="1" noChangeArrowheads="1"/>
                          </pic:cNvPicPr>
                        </pic:nvPicPr>
                        <pic:blipFill>
                          <a:blip r:embed="rId124"/>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1"/>
                          <pic:cNvPicPr>
                            <a:picLocks noChangeAspect="1" noChangeArrowheads="1"/>
                          </pic:cNvPicPr>
                        </pic:nvPicPr>
                        <pic:blipFill>
                          <a:blip r:embed="rId125"/>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2"/>
                    <pic:cNvPicPr>
                      <a:picLocks noChangeAspect="1" noChangeArrowheads="1"/>
                    </pic:cNvPicPr>
                  </pic:nvPicPr>
                  <pic:blipFill>
                    <a:blip r:embed="rId126"/>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y el procedimiento de control que acompaña al flujo propuesto.</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facturación y verificación de documentos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facturas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información de casos administrativos y revisar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afiliaciones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el registro y seguimiento de nuevas afiliaciones.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registrar incidencias y su estatus.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Procedimiento escrito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las reglas básicas de uso de los formatos y actualización del flujo.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afiliación e incidencias y procedimiento escrito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adecuadamente los formatos de afiliación e incidencias, demostrando orden y criterio administrativo en la selección de los datos necesarios para facilitar el registro, actualización y seguimiento de las solicitudes.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3"/>
                          <pic:cNvPicPr>
                            <a:picLocks noChangeAspect="1" noChangeArrowheads="1"/>
                          </pic:cNvPicPr>
                        </pic:nvPicPr>
                        <pic:blipFill>
                          <a:blip r:embed="rId127"/>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4"/>
                          <pic:cNvPicPr>
                            <a:picLocks noChangeAspect="1" noChangeArrowheads="1"/>
                          </pic:cNvPicPr>
                        </pic:nvPicPr>
                        <pic:blipFill>
                          <a:blip r:embed="rId128"/>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5"/>
                    <pic:cNvPicPr>
                      <a:picLocks noChangeAspect="1" noChangeArrowheads="1"/>
                    </pic:cNvPicPr>
                  </pic:nvPicPr>
                  <pic:blipFill>
                    <a:blip r:embed="rId129"/>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Formular y validar la propuesta de mejora del control administrativo, incorporando el flujograma y los formatos diseñados.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operativo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Participar en las actividades administrativas y de seguimiento de solicitudes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diagnóstico, flujo, formatos y mecanismos de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Flujograma definitivo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el diagrama del proceso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Validación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al tutor industrial y registrar observaciones.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correcciones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de mejora revisada con flujograma y formatos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de mejora de manera organizada, demostrando dominio de los aspectos trabajados durante las pasantías. Recibió las observaciones realizadas con actitud receptiva e incorporó las correcciones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6"/>
                          <pic:cNvPicPr>
                            <a:picLocks noChangeAspect="1" noChangeArrowheads="1"/>
                          </pic:cNvPicPr>
                        </pic:nvPicPr>
                        <pic:blipFill>
                          <a:blip r:embed="rId130"/>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7"/>
                          <pic:cNvPicPr>
                            <a:picLocks noChangeAspect="1" noChangeArrowheads="1"/>
                          </pic:cNvPicPr>
                        </pic:nvPicPr>
                        <pic:blipFill>
                          <a:blip r:embed="rId131"/>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8"/>
                    <pic:cNvPicPr>
                      <a:picLocks noChangeAspect="1" noChangeArrowheads="1"/>
                    </pic:cNvPicPr>
                  </pic:nvPicPr>
                  <pic:blipFill>
                    <a:blip r:embed="rId132"/>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Lic. 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Consolidar el informe final, presentar los resultados y completar los recaudos de cierre de las pasantías.</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márgenes, interlineado, paginación, índices y referencias conforme a IUTECP.</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institucional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resultados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el diagnóstico y la propuesta ante la supervisión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laptop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final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Corregir ortografía y coherencia entre objetivos, cronograma, actividades y conclusiones.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firmas, sello y documentación de culminación.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bl>
    <w:p>
      <w:pPr>
        <w:pStyle w:val="Normal"/>
        <w:spacing w:lineRule="auto" w:line="240" w:before="0" w:after="120"/>
        <w:ind w:hanging="0"/>
        <w:rPr/>
      </w:pPr>
      <w:r>
        <w:rPr>
          <w:i/>
          <w:sz w:val="20"/>
        </w:rPr>
        <w:t xml:space="preserve">Fuente: </w:t>
      </w:r>
      <w:r>
        <w:rPr>
          <w:sz w:val="20"/>
        </w:rPr>
        <w:t>Alrifaai A. (2026).</w:t>
      </w:r>
    </w:p>
    <w:p>
      <w:pPr>
        <w:pStyle w:val="Normal"/>
        <w:spacing w:before="0" w:after="80"/>
        <w:rPr/>
      </w:pPr>
      <w:r>
        <w:rPr>
          <w:b/>
          <w:sz w:val="24"/>
        </w:rPr>
        <w:t>ENTREGABLES DE LA SEMANA:</w:t>
      </w:r>
    </w:p>
    <w:p>
      <w:pPr>
        <w:pStyle w:val="Normal"/>
        <w:spacing w:lineRule="auto" w:line="360" w:before="0" w:after="0"/>
        <w:jc w:val="both"/>
        <w:rPr/>
      </w:pPr>
      <w:r>
        <w:rPr>
          <w:b w:val="false"/>
          <w:sz w:val="24"/>
        </w:rPr>
        <w:t>Informe final, propuesta presentada y recaudos institucionales de cierre.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su período de pasantías, demostrando responsabilidad, puntualidad, disposición para recibir orientaciones y cumplimiento de las actividades asignadas. Se evidenció un progreso favorable en el manejo de los procesos administrativos y en la formulación de propuestas de mejora.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5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9"/>
                          <pic:cNvPicPr>
                            <a:picLocks noChangeAspect="1" noChangeArrowheads="1"/>
                          </pic:cNvPicPr>
                        </pic:nvPicPr>
                        <pic:blipFill>
                          <a:blip r:embed="rId133"/>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52"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0"/>
                          <pic:cNvPicPr>
                            <a:picLocks noChangeAspect="1" noChangeArrowheads="1"/>
                          </pic:cNvPicPr>
                        </pic:nvPicPr>
                        <pic:blipFill>
                          <a:blip r:embed="rId134"/>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Lic. 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3"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1"/>
                    <pic:cNvPicPr>
                      <a:picLocks noChangeAspect="1" noChangeArrowheads="1"/>
                    </pic:cNvPicPr>
                  </pic:nvPicPr>
                  <pic:blipFill>
                    <a:blip r:embed="rId135"/>
                    <a:stretch>
                      <a:fillRect/>
                    </a:stretch>
                  </pic:blipFill>
                  <pic:spPr bwMode="auto">
                    <a:xfrm>
                      <a:off x="0" y="0"/>
                      <a:ext cx="1440180" cy="587375"/>
                    </a:xfrm>
                    <a:prstGeom prst="rect">
                      <a:avLst/>
                    </a:prstGeom>
                    <a:noFill/>
                  </pic:spPr>
                </pic:pic>
              </a:graphicData>
            </a:graphic>
          </wp:inline>
        </w:drawing>
      </w:r>
    </w:p>
    <w:p>
      <w:pPr>
        <w:pStyle w:val="Normal"/>
        <w:rPr/>
      </w:pPr>
      <w:r>
        <w:rPr/>
      </w:r>
    </w:p>
    <w:sectPr>
      <w:footerReference w:type="even" r:id="rId136"/>
      <w:footerReference w:type="default" r:id="rId137"/>
      <w:footerReference w:type="first" r:id="rId138"/>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19</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23</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35</w:t>
    </w:r>
    <w:r>
      <w:rPr/>
      <w:fldChar w:fldCharType="end"/>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35</w:t>
    </w:r>
    <w:r>
      <w:rPr/>
      <w:fldChar w:fldCharType="end"/>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63</w:t>
    </w:r>
    <w:r>
      <w:rPr>
        <w:sz w:val="20"/>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63</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footer" Target="footer37.xml"/><Relationship Id="rId46" Type="http://schemas.openxmlformats.org/officeDocument/2006/relationships/footer" Target="footer38.xml"/><Relationship Id="rId47" Type="http://schemas.openxmlformats.org/officeDocument/2006/relationships/footer" Target="footer39.xml"/><Relationship Id="rId48" Type="http://schemas.openxmlformats.org/officeDocument/2006/relationships/footer" Target="footer40.xml"/><Relationship Id="rId49" Type="http://schemas.openxmlformats.org/officeDocument/2006/relationships/footer" Target="footer41.xml"/><Relationship Id="rId50" Type="http://schemas.openxmlformats.org/officeDocument/2006/relationships/footer" Target="footer42.xml"/><Relationship Id="rId51" Type="http://schemas.openxmlformats.org/officeDocument/2006/relationships/footer" Target="footer43.xml"/><Relationship Id="rId52" Type="http://schemas.openxmlformats.org/officeDocument/2006/relationships/footer" Target="footer44.xml"/><Relationship Id="rId53" Type="http://schemas.openxmlformats.org/officeDocument/2006/relationships/footer" Target="footer45.xml"/><Relationship Id="rId54" Type="http://schemas.openxmlformats.org/officeDocument/2006/relationships/footer" Target="footer46.xml"/><Relationship Id="rId55" Type="http://schemas.openxmlformats.org/officeDocument/2006/relationships/footer" Target="footer47.xml"/><Relationship Id="rId56" Type="http://schemas.openxmlformats.org/officeDocument/2006/relationships/footer" Target="footer48.xml"/><Relationship Id="rId57" Type="http://schemas.openxmlformats.org/officeDocument/2006/relationships/footer" Target="footer49.xml"/><Relationship Id="rId58" Type="http://schemas.openxmlformats.org/officeDocument/2006/relationships/footer" Target="footer50.xml"/><Relationship Id="rId59" Type="http://schemas.openxmlformats.org/officeDocument/2006/relationships/footer" Target="footer51.xml"/><Relationship Id="rId60" Type="http://schemas.openxmlformats.org/officeDocument/2006/relationships/footer" Target="footer52.xml"/><Relationship Id="rId61" Type="http://schemas.openxmlformats.org/officeDocument/2006/relationships/footer" Target="footer53.xml"/><Relationship Id="rId62" Type="http://schemas.openxmlformats.org/officeDocument/2006/relationships/footer" Target="footer54.xml"/><Relationship Id="rId63" Type="http://schemas.openxmlformats.org/officeDocument/2006/relationships/footer" Target="footer55.xml"/><Relationship Id="rId64" Type="http://schemas.openxmlformats.org/officeDocument/2006/relationships/footer" Target="footer56.xml"/><Relationship Id="rId65" Type="http://schemas.openxmlformats.org/officeDocument/2006/relationships/footer" Target="footer57.xml"/><Relationship Id="rId66" Type="http://schemas.openxmlformats.org/officeDocument/2006/relationships/image" Target="media/image8.png"/><Relationship Id="rId67" Type="http://schemas.openxmlformats.org/officeDocument/2006/relationships/footer" Target="footer58.xml"/><Relationship Id="rId68" Type="http://schemas.openxmlformats.org/officeDocument/2006/relationships/footer" Target="footer59.xml"/><Relationship Id="rId69" Type="http://schemas.openxmlformats.org/officeDocument/2006/relationships/footer" Target="footer60.xml"/><Relationship Id="rId70" Type="http://schemas.openxmlformats.org/officeDocument/2006/relationships/image" Target="media/image9.png"/><Relationship Id="rId71" Type="http://schemas.openxmlformats.org/officeDocument/2006/relationships/footer" Target="footer61.xml"/><Relationship Id="rId72" Type="http://schemas.openxmlformats.org/officeDocument/2006/relationships/footer" Target="footer62.xml"/><Relationship Id="rId73" Type="http://schemas.openxmlformats.org/officeDocument/2006/relationships/footer" Target="footer63.xml"/><Relationship Id="rId74" Type="http://schemas.openxmlformats.org/officeDocument/2006/relationships/image" Target="media/image10.png"/><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image" Target="media/image11.png"/><Relationship Id="rId79" Type="http://schemas.openxmlformats.org/officeDocument/2006/relationships/footer" Target="footer67.xml"/><Relationship Id="rId80" Type="http://schemas.openxmlformats.org/officeDocument/2006/relationships/footer" Target="footer68.xml"/><Relationship Id="rId81" Type="http://schemas.openxmlformats.org/officeDocument/2006/relationships/footer" Target="footer69.xml"/><Relationship Id="rId82" Type="http://schemas.openxmlformats.org/officeDocument/2006/relationships/image" Target="media/image12.png"/><Relationship Id="rId83" Type="http://schemas.openxmlformats.org/officeDocument/2006/relationships/footer" Target="footer70.xml"/><Relationship Id="rId84" Type="http://schemas.openxmlformats.org/officeDocument/2006/relationships/footer" Target="footer71.xml"/><Relationship Id="rId85" Type="http://schemas.openxmlformats.org/officeDocument/2006/relationships/footer" Target="footer72.xml"/><Relationship Id="rId86" Type="http://schemas.openxmlformats.org/officeDocument/2006/relationships/image" Target="media/image13.png"/><Relationship Id="rId87" Type="http://schemas.openxmlformats.org/officeDocument/2006/relationships/footer" Target="footer73.xml"/><Relationship Id="rId88" Type="http://schemas.openxmlformats.org/officeDocument/2006/relationships/footer" Target="footer74.xml"/><Relationship Id="rId89" Type="http://schemas.openxmlformats.org/officeDocument/2006/relationships/footer" Target="footer75.xml"/><Relationship Id="rId90" Type="http://schemas.openxmlformats.org/officeDocument/2006/relationships/image" Target="media/image14.png"/><Relationship Id="rId91" Type="http://schemas.openxmlformats.org/officeDocument/2006/relationships/footer" Target="footer76.xml"/><Relationship Id="rId92" Type="http://schemas.openxmlformats.org/officeDocument/2006/relationships/footer" Target="footer77.xml"/><Relationship Id="rId93" Type="http://schemas.openxmlformats.org/officeDocument/2006/relationships/footer" Target="footer78.xml"/><Relationship Id="rId94" Type="http://schemas.openxmlformats.org/officeDocument/2006/relationships/image" Target="media/image15.png"/><Relationship Id="rId95" Type="http://schemas.openxmlformats.org/officeDocument/2006/relationships/footer" Target="footer79.xml"/><Relationship Id="rId96" Type="http://schemas.openxmlformats.org/officeDocument/2006/relationships/footer" Target="footer80.xml"/><Relationship Id="rId97" Type="http://schemas.openxmlformats.org/officeDocument/2006/relationships/footer" Target="footer81.xml"/><Relationship Id="rId98" Type="http://schemas.openxmlformats.org/officeDocument/2006/relationships/image" Target="media/image16.jpeg"/><Relationship Id="rId99" Type="http://schemas.openxmlformats.org/officeDocument/2006/relationships/image" Target="media/image17.jpeg"/><Relationship Id="rId100" Type="http://schemas.openxmlformats.org/officeDocument/2006/relationships/image" Target="media/image18.jpeg"/><Relationship Id="rId101" Type="http://schemas.openxmlformats.org/officeDocument/2006/relationships/image" Target="media/image19.jpeg"/><Relationship Id="rId102" Type="http://schemas.openxmlformats.org/officeDocument/2006/relationships/image" Target="media/image20.jpeg"/><Relationship Id="rId103" Type="http://schemas.openxmlformats.org/officeDocument/2006/relationships/image" Target="media/image21.jpeg"/><Relationship Id="rId104" Type="http://schemas.openxmlformats.org/officeDocument/2006/relationships/image" Target="media/image22.jpeg"/><Relationship Id="rId105" Type="http://schemas.openxmlformats.org/officeDocument/2006/relationships/image" Target="media/image23.jpeg"/><Relationship Id="rId106" Type="http://schemas.openxmlformats.org/officeDocument/2006/relationships/image" Target="media/image24.png"/><Relationship Id="rId107" Type="http://schemas.openxmlformats.org/officeDocument/2006/relationships/image" Target="media/image2.png"/><Relationship Id="rId108" Type="http://schemas.openxmlformats.org/officeDocument/2006/relationships/image" Target="media/image25.png"/><Relationship Id="rId109" Type="http://schemas.openxmlformats.org/officeDocument/2006/relationships/image" Target="media/image24.png"/><Relationship Id="rId110" Type="http://schemas.openxmlformats.org/officeDocument/2006/relationships/image" Target="media/image2.png"/><Relationship Id="rId111" Type="http://schemas.openxmlformats.org/officeDocument/2006/relationships/image" Target="media/image25.png"/><Relationship Id="rId112" Type="http://schemas.openxmlformats.org/officeDocument/2006/relationships/image" Target="media/image24.png"/><Relationship Id="rId113" Type="http://schemas.openxmlformats.org/officeDocument/2006/relationships/image" Target="media/image2.png"/><Relationship Id="rId114" Type="http://schemas.openxmlformats.org/officeDocument/2006/relationships/image" Target="media/image25.png"/><Relationship Id="rId115" Type="http://schemas.openxmlformats.org/officeDocument/2006/relationships/image" Target="media/image24.png"/><Relationship Id="rId116" Type="http://schemas.openxmlformats.org/officeDocument/2006/relationships/image" Target="media/image2.png"/><Relationship Id="rId117" Type="http://schemas.openxmlformats.org/officeDocument/2006/relationships/image" Target="media/image25.png"/><Relationship Id="rId118" Type="http://schemas.openxmlformats.org/officeDocument/2006/relationships/image" Target="media/image24.png"/><Relationship Id="rId119" Type="http://schemas.openxmlformats.org/officeDocument/2006/relationships/image" Target="media/image2.png"/><Relationship Id="rId120" Type="http://schemas.openxmlformats.org/officeDocument/2006/relationships/image" Target="media/image25.png"/><Relationship Id="rId121" Type="http://schemas.openxmlformats.org/officeDocument/2006/relationships/image" Target="media/image24.png"/><Relationship Id="rId122" Type="http://schemas.openxmlformats.org/officeDocument/2006/relationships/image" Target="media/image2.png"/><Relationship Id="rId123" Type="http://schemas.openxmlformats.org/officeDocument/2006/relationships/image" Target="media/image25.png"/><Relationship Id="rId124" Type="http://schemas.openxmlformats.org/officeDocument/2006/relationships/image" Target="media/image24.png"/><Relationship Id="rId125" Type="http://schemas.openxmlformats.org/officeDocument/2006/relationships/image" Target="media/image2.png"/><Relationship Id="rId126" Type="http://schemas.openxmlformats.org/officeDocument/2006/relationships/image" Target="media/image25.png"/><Relationship Id="rId127" Type="http://schemas.openxmlformats.org/officeDocument/2006/relationships/image" Target="media/image24.png"/><Relationship Id="rId128" Type="http://schemas.openxmlformats.org/officeDocument/2006/relationships/image" Target="media/image2.png"/><Relationship Id="rId129" Type="http://schemas.openxmlformats.org/officeDocument/2006/relationships/image" Target="media/image25.png"/><Relationship Id="rId130" Type="http://schemas.openxmlformats.org/officeDocument/2006/relationships/image" Target="media/image24.png"/><Relationship Id="rId131" Type="http://schemas.openxmlformats.org/officeDocument/2006/relationships/image" Target="media/image2.png"/><Relationship Id="rId132" Type="http://schemas.openxmlformats.org/officeDocument/2006/relationships/image" Target="media/image25.png"/><Relationship Id="rId133" Type="http://schemas.openxmlformats.org/officeDocument/2006/relationships/image" Target="media/image24.png"/><Relationship Id="rId134" Type="http://schemas.openxmlformats.org/officeDocument/2006/relationships/image" Target="media/image2.png"/><Relationship Id="rId135" Type="http://schemas.openxmlformats.org/officeDocument/2006/relationships/image" Target="media/image25.png"/><Relationship Id="rId136" Type="http://schemas.openxmlformats.org/officeDocument/2006/relationships/footer" Target="footer82.xml"/><Relationship Id="rId137" Type="http://schemas.openxmlformats.org/officeDocument/2006/relationships/footer" Target="footer83.xml"/><Relationship Id="rId138" Type="http://schemas.openxmlformats.org/officeDocument/2006/relationships/footer" Target="footer84.xml"/><Relationship Id="rId139" Type="http://schemas.openxmlformats.org/officeDocument/2006/relationships/numbering" Target="numbering.xml"/><Relationship Id="rId140" Type="http://schemas.openxmlformats.org/officeDocument/2006/relationships/fontTable" Target="fontTable.xml"/><Relationship Id="rId141" Type="http://schemas.openxmlformats.org/officeDocument/2006/relationships/settings" Target="settings.xml"/><Relationship Id="rId142" Type="http://schemas.openxmlformats.org/officeDocument/2006/relationships/theme" Target="theme/theme1.xml"/><Relationship Id="rId14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2026-08-24T17:06:38Z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