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final de pasantías bajo las normas IUTECP para su presentación y firma de cierre.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Unir los capítulos I, II y III, junto con las conclusiones, recomendaciones y anexos en el formato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Formateo bajo normas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Adecuar el espaciado, márgenes, tipo de letra e índices de acuerdo a la normativa de transcripción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ortografía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 lectura final del texto para corregir la sintaxis y asegurar la coherencia técnica del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corrector ortográfico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los resultados y formatos propuestos a la Supervisora de Administración y al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en PDF,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y aval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Obtener las firmas del tutor industrial y el sello de la empresa en el informe de pasantías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bolígrafos, sello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impreso/digitalizado con firmas de aprobación y carta de culminación de actividades.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Amaal culminó con éxito sus actividades de pasantía. El informe presentado cumple con los estándares requeridos y aporta soluciones aplicables a IDETEL.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